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portant majoration de la taxe d’habitation sur les résidences secondaires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Conformément aux dispositions de </w:t>
      </w:r>
      <w:hyperlink r:id="rId7" w:history="1">
        <w:r>
          <w:rPr/>
          <w:t xml:space="preserve">l'article 1407 ter</w:t>
        </w:r>
      </w:hyperlink>
      <w:r>
        <w:rPr/>
        <w:t xml:space="preserve"> du code général des impôts (CGI), les conseils municipaux des communes situées dans le périmètre d'application de la taxe sur les logements vacants prévue (TLV) à l’article 232 du CGI peuvent majorer d'un pourcentage compris entre 5 % et 60 % la part communale de la cotisation de taxe d’habitation sur les résidences secondaires et autres locaux meublés non affectés à l'habitation principale due au titre des logements meublés. Le taux majoré est intégré dans le plafond existant des taux de taxe d’habitation. L'instauration de la majoration est subordonnée à une délibération prise avant le 1</w:t>
      </w:r>
      <w:r>
        <w:rPr>
          <w:vertAlign w:val="superscript"/>
        </w:rPr>
        <w:t xml:space="preserve">er</w:t>
      </w:r>
      <w:r>
        <w:rPr/>
        <w:t xml:space="preserve"> octobre d'une année pour être applicable aux impositions dues à compter de l'année suivante. </w:t>
      </w:r>
    </w:p>
    <w:p/>
    <w:p>
      <w:pPr>
        <w:jc w:val="both"/>
      </w:pPr>
      <w:hyperlink r:id="rId8" w:history="1">
        <w:r>
          <w:rPr/>
          <w:t xml:space="preserve">Le décret n° 2023-822</w:t>
        </w:r>
      </w:hyperlink>
      <w:r>
        <w:rPr/>
        <w:t xml:space="preserve"> du 25 août 2023</w:t>
      </w:r>
      <w:r>
        <w:rPr>
          <w:i w:val="1"/>
          <w:iCs w:val="1"/>
        </w:rPr>
        <w:t xml:space="preserve"> </w:t>
      </w:r>
      <w:r>
        <w:rPr/>
        <w:t xml:space="preserve">a étendu la liste des communes qui peuvent imposer cette majoration.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EXTRAIT DU REGISTRE DES DELIBERATIONS DU CONSEIL MUNICIPAL DE ….</w:t>
      </w:r>
    </w:p>
    <w:p/>
    <w:p>
      <w:pPr>
        <w:jc w:val="both"/>
      </w:pPr>
      <w:r>
        <w:rPr/>
        <w:t xml:space="preserve">SEANCE DU ….</w:t>
      </w:r>
    </w:p>
    <w:p/>
    <w:p>
      <w:pPr>
        <w:jc w:val="both"/>
      </w:pPr>
      <w:r>
        <w:rPr>
          <w:b w:val="1"/>
          <w:bCs w:val="1"/>
        </w:rPr>
        <w:t xml:space="preserve">OBJET : TAXE D'HABITATION MAJORATION DE LA COTISATION DUE AU TITRE DES LOGEMENTS MEUBLÉS NON AFFECTÉS À L’HABITATION PRINCIPALE </w:t>
      </w:r>
    </w:p>
    <w:p/>
    <w:p>
      <w:pPr>
        <w:jc w:val="both"/>
      </w:pPr>
      <w:r>
        <w:rPr/>
        <w:t xml:space="preserve">Le Maire de …. expose les dispositions de l’article 1407 </w:t>
      </w:r>
      <w:r>
        <w:rPr>
          <w:i w:val="1"/>
          <w:iCs w:val="1"/>
        </w:rPr>
        <w:t xml:space="preserve">ter </w:t>
      </w:r>
      <w:r>
        <w:rPr/>
        <w:t xml:space="preserve">du code général des impôts permettant au conseil municipal de majorer d'un pourcentage compris entre 5 % et 60 % la part communale de la cotisation de taxe d’habitation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(</w:t>
      </w:r>
      <w:r>
        <w:rPr>
          <w:i w:val="1"/>
          <w:iCs w:val="1"/>
        </w:rPr>
        <w:t xml:space="preserve">Exposé des motifs conduisant à la proposition</w:t>
      </w:r>
      <w:r>
        <w:rPr/>
        <w:t xml:space="preserve">)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ter</w:t>
      </w:r>
      <w:r>
        <w:rPr/>
        <w:t xml:space="preserve"> du code général des impôts,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 conseil municipal, après en avoir délibéré :</w:t>
      </w:r>
      <w:br/>
      <w:r>
        <w:rPr/>
        <w:t xml:space="preserve">  </w:t>
      </w:r>
    </w:p>
    <w:p/>
    <w:p>
      <w:pPr>
        <w:jc w:val="both"/>
      </w:pPr>
      <w:r>
        <w:rPr/>
        <w:t xml:space="preserve">- Décide de majorer de...(entre 5 et 60 %) la part communale de la cotisation de taxe d'habitation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- Charge le Maire de notifier cette décision aux services préfectoraux.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                               </w:t>
      </w:r>
      <w:r>
        <w:rPr>
          <w:i w:val="1"/>
          <w:iCs w:val="1"/>
        </w:rPr>
        <w:t xml:space="preserve">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72449/2023-01-01/" TargetMode="External"/><Relationship Id="rId8" Type="http://schemas.openxmlformats.org/officeDocument/2006/relationships/hyperlink" Target="http://eye.sbc37.com/c?p=wAbNBY3CxBDQiUDQ1A8rc9CdTtCiGdC1J1thNiTEEDNp0JvQmNDc0M7QokXQoADQyl3u5Slc2UlodHRwczovL3d3dy5sZWdpZnJhbmNlLmdvdXYuZnIvZWxpL2RlY3JldC8yMDIzLzgvMjUvVFJFTDIzMDE2MTlEL2pvL3RleHRlpDk1NzS2dUJodGNhOTZYVVc1TTQ0MGR4SnY3Z8C2U1lYLUFqTnBtVTZHVUhLa1dRUE9FQa1leWUuc2JjMzcuY29txBQUf9CwbenQ29DJdSM2JtC50NjQyArtfynQx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2026-06-13T07:00:46+02:00</dcterms:created>
  <dcterms:modified xsi:type="dcterms:W3CDTF">2026-06-13T07:00:46+02:00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