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 </w:t>
      </w:r>
    </w:p>
    <w:p/>
    <w:p>
      <w:pPr>
        <w:jc w:val="both"/>
      </w:pPr>
      <w:r>
        <w:rPr/>
        <w:t xml:space="preserve">Mais la délibération pour créer l'emploi n'est nécessaire que si le poste n'existe pas déjà au sein de la commune.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 </w:t>
      </w:r>
      <w:br/>
      <w:r>
        <w:rPr/>
        <w:t xml:space="preserve">  </w:t>
      </w:r>
    </w:p>
    <w:p/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 Vu le code général de la fonction publique, notamment les articles L 2, L 7 et L 332-8 (7°),</w:t>
      </w:r>
      <w:br/>
      <w:r>
        <w:rPr/>
        <w:t xml:space="preserve"> Vu le décret n° 88-145 du 15 février 1988 modifié relatif aux agents contractuels de la fonction publique territoriale,</w:t>
      </w:r>
      <w:br/>
      <w:r>
        <w:rPr/>
        <w:t xml:space="preserve"> Vu le tableau des effectifs, </w:t>
      </w:r>
    </w:p>
    <w:p/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 Considérant la nécessité de renforcer l'efficacité de l'administration municipale pour assurer un service public de qualité aux citoyens de notre commune,</w:t>
      </w:r>
      <w:br/>
      <w:r>
        <w:rPr/>
        <w:t xml:space="preserve"> Considérant les tâches administratives croissantes et les responsabilités accrues liées à la gestion de la commune,</w:t>
      </w:r>
      <w:br/>
      <w:r>
        <w:rPr/>
        <w:t xml:space="preserve"> Considérant la proposition de M. le Maire pour la création d'un poste de secrétaire de mairie sur le fondement des dispositions législatives susvisées.</w:t>
      </w:r>
    </w:p>
    <w:p/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/>
    <w:p/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/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/>
    <w:p/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</w:p>
    <w:p/>
    <w:p/>
    <w:p>
      <w:pPr>
        <w:jc w:val="both"/>
      </w:pPr>
      <w:r>
        <w:rPr/>
        <w:t xml:space="preserve">Date / Signature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2026-04-28T06:40:34+02:00</dcterms:created>
  <dcterms:modified xsi:type="dcterms:W3CDTF">2026-04-28T06:40:34+02:00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