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p>
    <w:p/>
    <w:p/>
    <w:p>
      <w:pPr>
        <w:jc w:val="both"/>
      </w:pPr>
      <w:r>
        <w:rPr>
          <w:b w:val="1"/>
          <w:bCs w:val="1"/>
        </w:rPr>
        <w:t xml:space="preserve">I - Nouvelles obligations en matière de petite enfance</w:t>
      </w:r>
    </w:p>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
      <w:pPr>
        <w:jc w:val="both"/>
      </w:pPr>
      <w:r>
        <w:rPr/>
        <w:t xml:space="preserve">- recenser les besoins des enfants âgés de moins de 3 ans et de leurs familles ainsi que les modes d’accueil ;</w:t>
      </w:r>
      <w:br/>
      <w:r>
        <w:rPr/>
        <w:t xml:space="preserve"> - informer et accompagner les parents des enfants âgés de moins de 3 ans ainsi que les futurs parents ;</w:t>
      </w:r>
      <w:br/>
      <w:r>
        <w:rPr/>
        <w:t xml:space="preserve"> - planifier le développement des modes d’accueil ;</w:t>
      </w:r>
      <w:br/>
      <w:r>
        <w:rPr/>
        <w:t xml:space="preserve"> - soutenir la qualité des modes d’accueil.</w:t>
      </w:r>
    </w:p>
    <w:p/>
    <w:p>
      <w:pPr>
        <w:jc w:val="both"/>
      </w:pPr>
      <w:r>
        <w:rPr/>
        <w:t xml:space="preserve">En fonction du nombre d’habitants, les communes (ou les groupements en cas de transfert) doivent exercer en tout ou partie ces 4 nouvelles compétences.</w:t>
      </w:r>
    </w:p>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
      <w:pPr>
        <w:jc w:val="both"/>
      </w:pPr>
      <w:r>
        <w:rPr>
          <w:b w:val="1"/>
          <w:bCs w:val="1"/>
        </w:rPr>
        <w:t xml:space="preserve">1. Recensement des besoins et des modes d’accueil </w:t>
      </w:r>
    </w:p>
    <w:p/>
    <w:p>
      <w:pPr>
        <w:jc w:val="both"/>
      </w:pPr>
      <w:r>
        <w:rPr/>
        <w:t xml:space="preserve">Cette compétence est obligatoire pour toutes les communes quelle que soit leur taille. Elle consiste à :</w:t>
      </w:r>
    </w:p>
    <w:p/>
    <w:p>
      <w:pPr>
        <w:jc w:val="both"/>
      </w:pPr>
      <w:r>
        <w:rPr/>
        <w:t xml:space="preserve">- identifier les besoins en termes d’accueil des enfants âgés de moins de 3 ans auprès des familles. Ces besoins doivent être appréciés du point de vue quantitatif et qualitatif ;</w:t>
      </w:r>
      <w:br/>
      <w:r>
        <w:rPr/>
        <w:t xml:space="preserve"> - recenser les besoins en matière d’offre de soutien à la parentalité auprès des familles ;</w:t>
      </w:r>
      <w:br/>
      <w:r>
        <w:rPr/>
        <w:t xml:space="preserve"> - identifier l’offre d’accueil existante sur le territoire (établissements du jeune enfant, assistants maternels, etc.).</w:t>
      </w:r>
    </w:p>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
      <w:pPr>
        <w:jc w:val="both"/>
      </w:pPr>
      <w:r>
        <w:rPr>
          <w:b w:val="1"/>
          <w:bCs w:val="1"/>
        </w:rPr>
        <w:t xml:space="preserve">2. Information et accompagnement des familles</w:t>
      </w:r>
    </w:p>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3. Planification des modes d’accueil </w:t>
      </w:r>
    </w:p>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 1° répertorie les équipements, les services et les modes d'accueil existants pour l'accueil des enfants de moins de trois ans ;</w:t>
      </w:r>
      <w:br/>
      <w:r>
        <w:rPr/>
        <w:t xml:space="preserve"> 2° précise les besoins des enfants de moins de trois ans et de leurs familles ;</w:t>
      </w:r>
      <w:br/>
      <w:r>
        <w:rPr/>
        <w:t xml:space="preserve"> 3° identifie les zones géographiques caractérisées par une offre d'accueil insuffisante ou par des difficultés dans l'accès à cette offre ;</w:t>
      </w:r>
      <w:br/>
      <w:r>
        <w:rPr/>
        <w:t xml:space="preserve"> 4° définit les orientations pluriannuelles de maintien et de développement de l'offre d'accueil du jeune enfant et les actions à mener.</w:t>
      </w:r>
    </w:p>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
      <w:pPr>
        <w:jc w:val="both"/>
      </w:pPr>
      <w:r>
        <w:rPr>
          <w:b w:val="1"/>
          <w:bCs w:val="1"/>
        </w:rPr>
        <w:t xml:space="preserve">4. Soutien à la qualité des modes d’accueil du jeune enfant</w:t>
      </w:r>
    </w:p>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5. Avis sur un projet d’un établissement accueillant des jeunes enfants </w:t>
      </w:r>
    </w:p>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
    <w:p>
      <w:pPr>
        <w:jc w:val="both"/>
      </w:pPr>
      <w:r>
        <w:rPr>
          <w:b w:val="1"/>
          <w:bCs w:val="1"/>
        </w:rPr>
        <w:t xml:space="preserve">II - Répartition des compétences entre les communes et les EPCI</w:t>
      </w:r>
    </w:p>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
      <w:pPr>
        <w:jc w:val="both"/>
      </w:pPr>
      <w:r>
        <w:rPr>
          <w:b w:val="1"/>
          <w:bCs w:val="1"/>
        </w:rPr>
        <w:t xml:space="preserve">Pour les communautés de communes et d’agglomération.</w:t>
      </w:r>
      <w:r>
        <w:rPr/>
        <w:t xml:space="preserve"> Il existe 3 cas distincts :</w:t>
      </w:r>
    </w:p>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 l’EPCI possède une compétence en matière d’action sociale. L’EPCI peut ajuster ses compétences relatives à l’accueil du jeune enfant en procédant à une modification des statuts ;</w:t>
      </w:r>
      <w:br/>
      <w:r>
        <w:rPr/>
        <w:t xml:space="preserve"> - l’EPCI n’a aucune compétence en matière sociale. L’EPCI peut décider d’ajouter les compétences relatives à l’accueil du jeune enfant en procédant à une modification des statuts.</w:t>
      </w:r>
    </w:p>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
      <w:pPr>
        <w:jc w:val="both"/>
      </w:pPr>
      <w:r>
        <w:rPr>
          <w:b w:val="1"/>
          <w:bCs w:val="1"/>
        </w:rPr>
        <w:t xml:space="preserve">Pour les syndicats mixtes.</w:t>
      </w:r>
      <w:r>
        <w:rPr/>
        <w:t xml:space="preserve"> Il faut aussi se référer aux statuts.</w:t>
      </w:r>
    </w:p>
    <w:p/>
    <w:p/>
    <w:p>
      <w:pPr>
        <w:jc w:val="both"/>
      </w:pPr>
      <w:r>
        <w:rPr>
          <w:b w:val="1"/>
          <w:bCs w:val="1"/>
        </w:rPr>
        <w:t xml:space="preserve">III - Rôle des CCAS ou CIAS</w:t>
      </w:r>
    </w:p>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
      <w:pPr>
        <w:jc w:val="both"/>
      </w:pPr>
      <w:r>
        <w:rPr/>
        <w:t xml:space="preserve">A l’inverse du CCAS, le centre intercommunal d’action sociale (CIAS) peut se voir transférer des compétences de l’EPCI à fiscalité propre et mettre en œuvre les missions liées aux compétences transférées.</w:t>
      </w:r>
    </w:p>
    <w:p/>
    <w:p/>
    <w:p>
      <w:pPr>
        <w:jc w:val="both"/>
      </w:pPr>
      <w:r>
        <w:rPr>
          <w:b w:val="1"/>
          <w:bCs w:val="1"/>
        </w:rPr>
        <w:t xml:space="preserve">IV - Financement des nouvelles obligations </w:t>
      </w:r>
    </w:p>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2026-06-13T16:55:35+02:00</dcterms:created>
  <dcterms:modified xsi:type="dcterms:W3CDTF">2026-06-13T16:55:35+02:00</dcterms:modified>
</cp:coreProperties>
</file>

<file path=docProps/custom.xml><?xml version="1.0" encoding="utf-8"?>
<Properties xmlns="http://schemas.openxmlformats.org/officeDocument/2006/custom-properties" xmlns:vt="http://schemas.openxmlformats.org/officeDocument/2006/docPropsVTypes"/>
</file>