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 l’indemnité de fonction du maire non fixée à son maximum</w:t>
      </w:r>
    </w:p>
    <w:p>
      <w:pPr>
        <w:pStyle w:val="Heading3"/>
      </w:pPr>
      <w:r>
        <w:rPr/>
        <w:t xml:space="preserve">Source - Modèles</w:t>
      </w:r>
    </w:p>
    <w:p/>
    <w:p>
      <w:pPr>
        <w:jc w:val="both"/>
      </w:pPr>
      <w:r>
        <w:rPr>
          <w:b w:val="1"/>
          <w:bCs w:val="1"/>
        </w:rPr>
        <w:t xml:space="preserve">Délibération portant revalorisation de l’indemnité de fonction du maire non fixée à son maximum</w:t>
      </w:r>
    </w:p>
    <w:p/>
    <w:p/>
    <w:p>
      <w:pPr>
        <w:jc w:val="both"/>
      </w:pPr>
      <w:r>
        <w:rPr/>
        <w:t xml:space="preserve">Suite à la loi n° 2025- du 22 décembre 2025 qui revalorise les indemnités des maires (modification de l’article L 2123-23 du code général des collectivités territoriales), voici le barème applicable :</w:t>
      </w:r>
    </w:p>
    <w:p/>
    <w:p/>
    <w:tbl>
      <w:tblGrid>
        <w:gridCol w:w="4680" w:type="dxa"/>
        <w:gridCol w:w="4695" w:type="dxa"/>
      </w:tblGrid>
      <w:tblPr>
        <w:jc w:val="center"/>
        <w:tblW w:w="0" w:type="auto"/>
        <w:tblCellSpacing w:w="0" w:type="dxa"/>
        <w:tblLayout w:type="autofit"/>
      </w:tblPr>
      <w:tr>
        <w:trPr/>
        <w:tc>
          <w:tcPr>
            <w:tcW w:w="4680" w:type="dxa"/>
            <w:tcBorders>
              <w:top w:val="single" w:sz="7" w:color="solid"/>
              <w:left w:val="single" w:sz="7" w:color="solid"/>
              <w:right w:val="single" w:sz="7" w:color="solid"/>
              <w:bottom w:val="single" w:sz="7" w:color="solid"/>
            </w:tcBorders>
            <w:shd w:val="clear" w:fill="595959"/>
            <w:noWrap/>
          </w:tcPr>
          <w:p>
            <w:pPr>
              <w:jc w:val="center"/>
            </w:pPr>
            <w:b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67,6</w:t>
            </w:r>
          </w:p>
        </w:tc>
      </w:tr>
    </w:tbl>
    <w:p/>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le code général des collectivités territoriales ;</w:t>
      </w:r>
    </w:p>
    <w:p/>
    <w:p>
      <w:pPr>
        <w:jc w:val="both"/>
      </w:pPr>
      <w:r>
        <w:rPr/>
        <w:t xml:space="preserve">Vu l’article L 2123-20-1 du code général des collectivités territoriales prévoyant que le taux de l’indemnité de fonction allouée aux maires est fixé automatiquement à son maximum pour toutes les communes ;</w:t>
      </w:r>
    </w:p>
    <w:p/>
    <w:p>
      <w:pPr>
        <w:jc w:val="both"/>
      </w:pPr>
      <w:r>
        <w:rPr/>
        <w:t xml:space="preserve">Vu l’article L 2123-23 du code général des collectivités territoriales prévoyant que le conseil municipal peut, par délibération, fixer une indemnité de fonction inférieure au barème ci-dessus, à la demande du maire ;</w:t>
      </w:r>
    </w:p>
    <w:p/>
    <w:p>
      <w:pPr>
        <w:jc w:val="both"/>
      </w:pPr>
      <w:r>
        <w:rPr/>
        <w:t xml:space="preserve">Vu l’article L 2123-23 du code général des collectivités territoriales revalorisant le barème des indemnités du maire suite à la loi du 22 décembre 2025 portant création du statut de l’élu ;</w:t>
      </w:r>
    </w:p>
    <w:p/>
    <w:p>
      <w:pPr>
        <w:jc w:val="both"/>
      </w:pPr>
      <w:r>
        <w:rPr/>
        <w:t xml:space="preserve">Vu la demande du maire formulée de revoir son indemnité de fonction fixée par délibération en date du …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du maire est, dans la limite de l'enveloppe budgétaire constituée par le montant des indemnités maximales susceptibles d'être allouées aux titulaires de mandats locaux par l'article L 2123-23 du code général des collectivités territoriales, fixé au taux suivant :</w:t>
      </w:r>
    </w:p>
    <w:p/>
    <w:p>
      <w:pPr>
        <w:jc w:val="both"/>
      </w:pPr>
      <w:r>
        <w:rPr/>
        <w:t xml:space="preserve">- maire : ... % de l'indice brut terminal de la fonction publique</w:t>
      </w:r>
    </w:p>
    <w:p/>
    <w:p>
      <w:pPr>
        <w:jc w:val="both"/>
      </w:pPr>
      <w:r>
        <w:rPr/>
        <w:t xml:space="preserve">Cette indemnité prend effet au … ;</w:t>
      </w:r>
    </w:p>
    <w:p/>
    <w:p>
      <w:pPr>
        <w:jc w:val="both"/>
      </w:pPr>
      <w:r>
        <w:rPr/>
        <w:t xml:space="preserve">- Que la délibération en date du … s’en trouve modifiée en ce qui concerne l’indemnité de fonction du maire ;</w:t>
      </w:r>
    </w:p>
    <w:p/>
    <w:p>
      <w:pPr>
        <w:jc w:val="both"/>
      </w:pPr>
      <w:r>
        <w:rPr/>
        <w:t xml:space="preserve">- Que les indemnités allouées aux adjoints ne sont pas modifiées ;</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2026-01-23T04:56:36+01:00</dcterms:created>
  <dcterms:modified xsi:type="dcterms:W3CDTF">2026-01-23T04:56:36+01:00</dcterms:modified>
</cp:coreProperties>
</file>

<file path=docProps/custom.xml><?xml version="1.0" encoding="utf-8"?>
<Properties xmlns="http://schemas.openxmlformats.org/officeDocument/2006/custom-properties" xmlns:vt="http://schemas.openxmlformats.org/officeDocument/2006/docPropsVTypes"/>
</file>