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Exécution d'une sanction. Changement d’employeur. Compétence liée du nouvel employeur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Réponses ministérielles</w:t>
      </w:r>
    </w:p>
    <w:p/>
    <w:p>
      <w:pPr/>
      <w:r>
        <w:rPr/>
        <w:t xml:space="preserve"> Une sanction infligée par une autorité territoriale ne produit pas d'effet au-delà du ressort de cette autorité, et la nouvelle autorité territoriale n'est pas en situation de compétence liée pour exécuter une sanction prise par une autre autorité (CE,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mars 2013, </w:t>
      </w:r>
    </w:p>
    <w:p>
      <w:pPr/>
      <w:hyperlink r:id="rId7" w:history="1">
        <w:r>
          <w:rPr/>
          <w:t xml:space="preserve">département C.</w:t>
        </w:r>
      </w:hyperlink>
    </w:p>
    <w:p>
      <w:pPr/>
      <w:r>
        <w:rPr/>
        <w:t xml:space="preserve">, n° 361819 ; 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 AN, 07.02.2017, question n° 99797, p. 1117).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27124510&amp;fastReqId=2049823069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2026-06-13T05:16:07+02:00</dcterms:created>
  <dcterms:modified xsi:type="dcterms:W3CDTF">2026-06-13T05:16:07+02:00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