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Données à caractère personnel. Communication à un ayant droit (oui sous conditions)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dispositions des articles 2 et 39 de la loi n° 78-17 du 6 janvier 1978 relative à l'informatique, aux fichiers et aux libertés, que la communication de données à caractère personnel n'est possible qu'à la personne concernée par ces données. Par suite, la seule qualité d'ayant droit d'une personne à laquelle se rapportent des données ne confère pas la qualité de « personne concernée » par leur traitement au sens de ces dispositions. Toutefois, lorsque la victime d'un dommage décède, son droit à la réparation de ce dommage, entré dans son patrimoine, est transmis à ses héritiers, saisis de plein droit des biens, droits et actions du défunt en application du premier alinéa de l'article 724 du code civil. Par suite, lorsque la victime a engagé une action en réparation avant son décès ou lorsque ses héritiers ont ultérieurement eux-mêmes engagé une telle action, ces derniers doivent être regardés comme des « personnes concernées » au sens des articles 2 et 39 de la loi du 6 janvier 1978 pour l'exercice de leur droit d'accès aux données à caractère personnel concernant le défunt, dans la mesure nécessaire à l'établissement du préjudice que ce dernier a subi en vue de sa réparation et pour les seuls besoins de l'instance engagée (CE, 7 juin 2017, </w:t>
      </w:r>
    </w:p>
    <w:p>
      <w:pPr/>
      <w:r>
        <w:rPr>
          <w:i w:val="1"/>
          <w:iCs w:val="1"/>
        </w:rPr>
        <w:t xml:space="preserve">M. B.</w:t>
      </w:r>
    </w:p>
    <w:p>
      <w:pPr/>
      <w:r>
        <w:rPr/>
        <w:t xml:space="preserve">, n° 399446).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2026-08-25T22:29:26+02:00</dcterms:created>
  <dcterms:modified xsi:type="dcterms:W3CDTF">2026-08-25T22:29:26+02:00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