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Engagement de l’élaboration d’une carte communale. Acte préparatoire. Délibération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décision d’engager la procédure d’élaboration d’une carte communale constitue un acte préparatoire et n’est pas subordonnée à l’intervention d’une délibération du conseil municipal (CE, 19 juillet 2017, </w:t>
      </w:r>
    </w:p>
    <w:p>
      <w:pPr/>
      <w:r>
        <w:rPr>
          <w:i w:val="1"/>
          <w:iCs w:val="1"/>
        </w:rPr>
        <w:t xml:space="preserve">ministre du Logement</w:t>
      </w:r>
    </w:p>
    <w:p>
      <w:pPr/>
      <w:r>
        <w:rPr/>
        <w:t xml:space="preserve">, n° 403805).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2026-08-24T20:41:01+02:00</dcterms:created>
  <dcterms:modified xsi:type="dcterms:W3CDTF">2026-08-24T20:41:01+02:00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