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Engagement de l’élaboration d’une carte communale. Acte préparatoire. Délibération (non)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La décision d’engager la procédure d’élaboration d’une carte communale constitue un acte préparatoire et n’est pas subordonnée à l’intervention d’une délibération du conseil municipal (CE, 19 juillet 2017, </w:t>
      </w:r>
    </w:p>
    <w:p>
      <w:pPr/>
      <w:r>
        <w:rPr>
          <w:i w:val="1"/>
          <w:iCs w:val="1"/>
        </w:rPr>
        <w:t xml:space="preserve">ministre du Logement</w:t>
      </w:r>
    </w:p>
    <w:p>
      <w:pPr/>
      <w:r>
        <w:rPr/>
        <w:t xml:space="preserve">, n° 403805).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2026-01-23T05:16:28+01:00</dcterms:created>
  <dcterms:modified xsi:type="dcterms:W3CDTF">2026-01-23T05:16:28+01:00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