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Policier municipal. Participation à une interview. Faute (non en l’espèce)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>
        <w:pStyle w:val="Heading3"/>
      </w:pPr>
    </w:p>
    <w:p>
      <w:pPr/>
      <w:r>
        <w:rPr/>
        <w:t xml:space="preserve"> La signature, par un policier municipal, d’une pétition qui ne remet pas en cause la politique du maire et la participation à une interview respectueuse du service ne sont pas constitutives de fautes de nature à entraîner une sanction disciplinaire (CAA Versailles, 20 juillet 2017, 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 n° 15VE03932).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2026-01-23T05:08:03+01:00</dcterms:created>
  <dcterms:modified xsi:type="dcterms:W3CDTF">2026-01-23T05:08:03+01:00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