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mixte. Obligation de retrait d’une collectivité en cas de perte d’une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du 3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l'article L 5721-6-3 du CGCT, éclairé par les travaux parlementaires qui ont précédé son adoption, que lorsqu'une collectivité territoriale ne dispose plus d'une compétence au titre de laquelle elle participait à un groupement, tel qu'un syndicat mixte, sa participation se trouve désormais privée de base légale et ne peut donc que prendre fin (CE, 13 décembre 2017, </w:t>
      </w:r>
    </w:p>
    <w:p>
      <w:pPr/>
      <w:r>
        <w:rPr>
          <w:i w:val="1"/>
          <w:iCs w:val="1"/>
        </w:rPr>
        <w:t xml:space="preserve">Assemblée des départements de France, </w:t>
      </w:r>
    </w:p>
    <w:p>
      <w:pPr/>
      <w:r>
        <w:rPr/>
        <w:t xml:space="preserve">n° 406563).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2026-04-29T15:15:47+02:00</dcterms:created>
  <dcterms:modified xsi:type="dcterms:W3CDTF">2026-04-29T15:15:47+02:00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