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Installations classées pour la protection de l'environnement soumises à autorisation. Prévention des risques accidentels</w:t>
      </w:r>
    </w:p>
    <w:p>
      <w:pPr>
        <w:pStyle w:val="Heading2"/>
      </w:pPr>
      <w:r>
        <w:rPr/>
        <w:t xml:space="preserve">Revue - Vie Communale</w:t>
      </w:r>
    </w:p>
    <w:p>
      <w:pPr>
        <w:pStyle w:val="Heading3"/>
      </w:pPr>
      <w:r>
        <w:rPr/>
        <w:t xml:space="preserve">Source - JO</w:t>
      </w:r>
    </w:p>
    <w:p/>
    <w:p>
      <w:pPr/>
      <w:r>
        <w:rPr/>
        <w:t xml:space="preserve"> Un arrêté du 15 février 2018 modifie les prescriptions relatives au séisme pour les installations classées pour la protection de l'environnement soumises à autorisation et relevant du régime Seveso, afin de revoir le périmètre des installations concernées par la remise des études afin de les réserver aux installations et zones à plus forts enjeux, de s'assurer de l'intégrité des équipements à risques, à travers la réalisation de plan de visites, de revoir les calendriers de remise des études et de réalisation des travaux, et de permettre la prise en compte d'études sismiques locales.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220" w:after="240"/>
    </w:pPr>
    <w:rPr>
      <w:rFonts w:ascii="Arial" w:hAnsi="Arial" w:eastAsia="Arial" w:cs="Arial"/>
      <w:color w:val="000000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after="240"/>
    </w:pPr>
    <w:rPr>
      <w:rFonts w:ascii="Arial" w:hAnsi="Arial" w:eastAsia="Arial" w:cs="Arial"/>
      <w:color w:val="000000"/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240"/>
    </w:pPr>
    <w:rPr>
      <w:rFonts w:ascii="Arial" w:hAnsi="Arial" w:eastAsia="Arial" w:cs="Arial"/>
      <w:color w:val="000000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2026-08-26T05:41:48+02:00</dcterms:created>
  <dcterms:modified xsi:type="dcterms:W3CDTF">2026-08-26T05:41:48+02:00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