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Dépôt de candidature (communes de 1 000 hab. et plus)</w:t>
      </w:r>
    </w:p>
    <w:p>
      <w:pPr>
        <w:pStyle w:val="Heading2"/>
      </w:pPr>
      <w:r>
        <w:rPr/>
        <w:t xml:space="preserve">Revue - Vie Communale</w:t>
      </w:r>
    </w:p>
    <w:p>
      <w:pPr>
        <w:pStyle w:val="Heading3"/>
      </w:pPr>
      <w:r>
        <w:rPr/>
        <w:t xml:space="preserve">Source - Lois et décrets</w:t>
      </w:r>
    </w:p>
    <w:p/>
    <w:p>
      <w:pPr/>
      <w:r>
        <w:rPr/>
        <w:t xml:space="preserve"> La loi n° 2018-51 du 31 janvier 2018 relative aux modalités de dépôt de candidature a instauré la possibilité dans les communes de 1 000 habitants et plus d'ajouter deux personnes supplémentaires sur la liste des candidats à l'élection au conseil municipal. Cette nouvelle disposition nécessite de préciser deux dispositions réglementaires du code électoral auxquelles le décret n° 2018-808 du 25 septembre 2018 procède. Pour la fixation du format des bulletins de vote, il convient de ne pas comptabiliser les noms supplémentaires qui pourraient être ajoutés par les listes candidates qui en feraient le choix. De plus, les trois premiers cinquièmes de la liste des candidats au conseil municipal sur lesquels doivent figurer les candidats au conseil communautaire doivent se calculer à partir du nombre de sièges à pourvoir au conseil municipal et non du nombre de candidats sur la liste.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2026-01-23T05:19:43+01:00</dcterms:created>
  <dcterms:modified xsi:type="dcterms:W3CDTF">2026-01-23T05:19:43+01:00</dcterms:modified>
</cp:coreProperties>
</file>

<file path=docProps/custom.xml><?xml version="1.0" encoding="utf-8"?>
<Properties xmlns="http://schemas.openxmlformats.org/officeDocument/2006/custom-properties" xmlns:vt="http://schemas.openxmlformats.org/officeDocument/2006/docPropsVTypes"/>
</file>