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Cantines scolaires. Fin des menus de substitution (illégalité en l'espèce)</w:t>
      </w:r>
    </w:p>
    <w:p>
      <w:pPr>
        <w:pStyle w:val="Heading2"/>
      </w:pPr>
      <w:r>
        <w:rPr/>
        <w:t xml:space="preserve">Revue - Vie Communale</w:t>
      </w:r>
    </w:p>
    <w:p>
      <w:pPr>
        <w:pStyle w:val="Heading3"/>
      </w:pPr>
      <w:r>
        <w:rPr/>
        <w:t xml:space="preserve">Source - Jurisprudence</w:t>
      </w:r>
    </w:p>
    <w:p/>
    <w:p>
      <w:pPr/>
      <w:r>
        <w:rPr/>
        <w:t xml:space="preserve"> Le juge rappelle : - que le gestionnaire d'un service public dont la mise en place est facultative (ce qui est le cas des cantines scolaires) dispose de larges pouvoirs d'organisation, mais ne peut décider d'en modifier les modalités d'organisation et de fonctionnement que pour des motifs en rapport avec les nécessités de ce service ;</w:t>
      </w:r>
    </w:p>
    <w:p/>
    <w:p>
      <w:pPr/>
      <w:r>
        <w:rPr/>
        <w:t xml:space="preserve">- que les principes de laïcité et de neutralité auxquels est soumis le service public de la restauration scolaire ne font pas, par eux-mêmes, obstacle à ce que les usagers de ce service se voient offrir un choix leur permettant de bénéficier d’un menu équilibré sans avoir à consommer des aliments proscrits par leurs convictions religieuses ou philosophiques. En l'espèce, le conseil municipal a approuvé la modification du règlement intérieur des restaurants scolaires qui dispose désormais qu'un « seul type de repas sera proposé à l'ensemble des enfants inscrits au restaurant scolaire ». Mais il est constant que, depuis 1984, les restaurants scolaires des écoles publiques de la commune proposaient à leurs usagers des menus alternatifs leur permettant de bénéficier de repas répondant aux bonnes pratiques nutritionnelles sans être contraints de consommer des aliments prohibés par leurs convictions religieuses. Il ne ressort pas des pièces du dossier que, pendant les 31 années qu’elle a duré, cette pratique aurait provoqué des troubles à l’ordre public ou été à l’origine de difficultés particulières en ce qui concerne l’organisation et la gestion du service public de la restauration scolaire. Il suit de là qu’en se fondant exclusivement sur les principes de laïcité et de neutralité du service public pour décider de mettre un terme à une telle pratique, le maire et le conseil municipal ont entaché leur décision et délibération d’erreur de droit (CAA Lyon, 23 octobre 2018, </w:t>
      </w:r>
    </w:p>
    <w:p>
      <w:pPr/>
      <w:r>
        <w:rPr>
          <w:i w:val="1"/>
          <w:iCs w:val="1"/>
        </w:rPr>
        <w:t xml:space="preserve">Ligue de défense judiciaire des musulmans</w:t>
      </w:r>
    </w:p>
    <w:p>
      <w:pPr/>
      <w:r>
        <w:rPr/>
        <w:t xml:space="preserve">, n° 17LY03323 et 17LY03328).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2026-01-23T05:07:13+01:00</dcterms:created>
  <dcterms:modified xsi:type="dcterms:W3CDTF">2026-01-23T05:07:13+01:00</dcterms:modified>
</cp:coreProperties>
</file>

<file path=docProps/custom.xml><?xml version="1.0" encoding="utf-8"?>
<Properties xmlns="http://schemas.openxmlformats.org/officeDocument/2006/custom-properties" xmlns:vt="http://schemas.openxmlformats.org/officeDocument/2006/docPropsVTypes"/>
</file>