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Séance du conseil municipal. Examen de délibérations non inscrites à l'ordre du jour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l’ordre du jour de la séance du conseil municipal ne comportait pas l'examen de deux délibérations relatives, pour la première, à l'attribution d'une subvention exceptionnelle à une association et, pour la seconde, à l'instauration et au versement de l'aide à la reprise ou à la création d'entreprise. Cet ordre du jour ne comportait pas davantage l'examen de questions diverses. Ainsi, quand bien même ces délibérations auraient revêtu un caractère mineur, c'est à bon droit que les premiers juges ont estimé que leur adoption avait méconnu les règles fixées par les dispositions de l'article L 2121-10 du CGCT concernant l'inscription des questions à l'ordre du jour du conseil municipal (CAA Versailles, 18 octobre 2018, </w:t>
      </w:r>
    </w:p>
    <w:p>
      <w:pPr/>
      <w:r>
        <w:rPr>
          <w:i w:val="1"/>
          <w:iCs w:val="1"/>
        </w:rPr>
        <w:t xml:space="preserve">commune de Vigneux-sur-Seine</w:t>
      </w:r>
    </w:p>
    <w:p>
      <w:pPr/>
      <w:r>
        <w:rPr/>
        <w:t xml:space="preserve">, n° 17VE02860).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2026-03-10T17:03:15+01:00</dcterms:created>
  <dcterms:modified xsi:type="dcterms:W3CDTF">2026-03-10T17:03:15+01:00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