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Défibrillateurs cardiaques. Obligation. Etablissements recevant du public concernés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Le décret n° 2018-1186 du 19 décembre 2018 précise les types ainsi que les catégories d'établissements recevant du public tenus de se munir d'un défibrillateur automatisé externe. Le texte entre en vigueur le 1</w:t>
      </w:r>
    </w:p>
    <w:p>
      <w:pPr/>
      <w:r>
        <w:rPr>
          <w:vertAlign w:val="superscript"/>
        </w:rPr>
        <w:t xml:space="preserve">er</w:t>
      </w:r>
    </w:p>
    <w:p>
      <w:pPr/>
      <w:r>
        <w:rPr/>
        <w:t xml:space="preserve"> janvier 2020 pour les ERP de catégories 1 à 3, le 1</w:t>
      </w:r>
    </w:p>
    <w:p>
      <w:pPr/>
      <w:r>
        <w:rPr>
          <w:vertAlign w:val="superscript"/>
        </w:rPr>
        <w:t xml:space="preserve">er</w:t>
      </w:r>
    </w:p>
    <w:p>
      <w:pPr/>
      <w:r>
        <w:rPr/>
        <w:t xml:space="preserve"> janvier 2021 pour les ERP de catégorie 4, et le 1</w:t>
      </w:r>
    </w:p>
    <w:p>
      <w:pPr/>
      <w:r>
        <w:rPr>
          <w:vertAlign w:val="superscript"/>
        </w:rPr>
        <w:t xml:space="preserve">er</w:t>
      </w:r>
    </w:p>
    <w:p>
      <w:pPr/>
      <w:r>
        <w:rPr/>
        <w:t xml:space="preserve"> janvier 2022 pour les ERP de catégorie 5.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2026-08-25T09:09:36+02:00</dcterms:created>
  <dcterms:modified xsi:type="dcterms:W3CDTF">2026-08-25T09:09:36+02:00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