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Loi ELAN. Présentation des dispositions d’application immédiate. Circulaire n° LOGL1835604C du 21 décembre 2018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Circulaire</w:t>
      </w:r>
    </w:p>
    <w:p/>
    <w:p>
      <w:pPr/>
      <w:r>
        <w:rPr/>
        <w:t xml:space="preserve"> La plupart des mesures issues de la loi n° 2018-1021 du 23 novembre 2018 (ELAN) sont d’application immédiate ou à partir du 1</w:t>
      </w:r>
    </w:p>
    <w:p>
      <w:pPr/>
      <w:r>
        <w:rPr>
          <w:vertAlign w:val="superscript"/>
        </w:rPr>
        <w:t xml:space="preserve">er</w:t>
      </w:r>
    </w:p>
    <w:p>
      <w:pPr/>
      <w:r>
        <w:rPr/>
        <w:t xml:space="preserve"> janvier 2019. La circulaire n° LOGL1835604C du 21 décembre 2018 identifie en annexe I les dispositions d’application immédiate et expose en annexe II les dispositions qui nécessitent un texte d’application.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2026-03-10T17:00:22+01:00</dcterms:created>
  <dcterms:modified xsi:type="dcterms:W3CDTF">2026-03-10T17:00:22+01:00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