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Contrat de mobilier urbain. Gestion du domaine public par un EPCI. Compétence de la commune pour conclure le contrat</w:t>
      </w:r>
    </w:p>
    <w:p>
      <w:pPr>
        <w:pStyle w:val="Heading2"/>
      </w:pPr>
      <w:r>
        <w:rPr/>
        <w:t xml:space="preserve">Revue - Marchés Publics</w:t>
      </w:r>
    </w:p>
    <w:p>
      <w:pPr>
        <w:pStyle w:val="Heading3"/>
      </w:pPr>
      <w:r>
        <w:rPr/>
        <w:t xml:space="preserve">Source - Jurisprudence</w:t>
      </w:r>
    </w:p>
    <w:p/>
    <w:p>
      <w:pPr/>
      <w:r>
        <w:rPr/>
        <w:t xml:space="preserve"> En l'espèce, le marché de mobilier urbain passé par la commune a pour objet de permettre la réalisation et la fourniture de prestations de service en matière d'information municipale par voie d'affichage. Ce contrat répond aux besoins de la commune. En contrepartie des prestations assurées, le cocontractant se rémunère par l'exploitation, à titre exclusif, d'une partie des mobiliers urbains à des fins publicitaires. Un tel contrat ne constitue ainsi ni une simple convention domaniale ni une convention se rapportant à la gestion de la voirie. Par suite, si l'installation sur le domaine public routier des dispositifs de mobilier urbain nécessite la délivrance d'une autorisation de la part de la communautaire urbaine, seule gestionnaire du domaine public en vertu de l'article L 5215-20-1 du CGCT alors en vigueur, celle-ci n'est compétente ni pour prendre la décision de recourir à ce mode d'affichage, ni pour l'exploiter. Dès lors, commet une erreur de droit une cour administrative d'appel qui déduit de la circonstance que l'implantation des mobiliers urbains sur le domaine public routier nécessite la délivrance d'une permission de voirie par la communauté urbaine l'incompétence de la commune pour passer un tel contrat (CE, 30 novembre 2018, </w:t>
      </w:r>
    </w:p>
    <w:p>
      <w:pPr/>
      <w:r>
        <w:rPr>
          <w:i w:val="1"/>
          <w:iCs w:val="1"/>
        </w:rPr>
        <w:t xml:space="preserve">société CDA Publimedia</w:t>
      </w:r>
    </w:p>
    <w:p>
      <w:pPr/>
      <w:r>
        <w:rPr/>
        <w:t xml:space="preserve">, n° 414377).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2026-04-28T03:20:24+02:00</dcterms:created>
  <dcterms:modified xsi:type="dcterms:W3CDTF">2026-04-28T03:20:24+02:00</dcterms:modified>
</cp:coreProperties>
</file>

<file path=docProps/custom.xml><?xml version="1.0" encoding="utf-8"?>
<Properties xmlns="http://schemas.openxmlformats.org/officeDocument/2006/custom-properties" xmlns:vt="http://schemas.openxmlformats.org/officeDocument/2006/docPropsVTypes"/>
</file>