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Actualisation annuelle des tarifs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Conformément aux dispositions de </w:t>
      </w:r>
    </w:p>
    <w:p>
      <w:pPr/>
      <w:hyperlink r:id="rId7" w:history="1">
        <w:r>
          <w:rPr/>
          <w:t xml:space="preserve">l'article L 331-11</w:t>
        </w:r>
      </w:hyperlink>
    </w:p>
    <w:p>
      <w:pPr/>
      <w:r>
        <w:rPr/>
        <w:t xml:space="preserve"> du code de l'urbanisme, les valeurs au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 de surface de construction, constituant l'assiette de la taxe d'aménagement perçue à l'occasion de la construction et de la reconstruction, sont actualisées au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de chaque année, en fonction du dernier indice du coût de la construction connu à cette date, et arrondies à l'euro inférieur. Les tarifs par mètre carré de construction s'élèvent ainsi, pour la période du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 au 31 décembre 2019, aux valeurs suivantes : </w:t>
      </w:r>
    </w:p>
    <w:p/>
    <w:p/>
    <w:p>
      <w:pPr/>
      <w:r>
        <w:rPr/>
        <w:t xml:space="preserve"> </w:t>
      </w:r>
    </w:p>
    <w:tbl>
      <w:tblGrid>
        <w:gridCol w:w="120" w:type="dxa"/>
        <w:gridCol w:w="120" w:type="dxa"/>
        <w:gridCol w:w="40" w:type="dxa"/>
        <w:gridCol w:w="14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 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HORS ILE-DE-FRANCE</w:t>
            </w:r>
            <w:br/>
            <w:br/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ILE-DE-FRANCE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Rappel de la valeur 2011</w:t>
            </w:r>
            <w:br/>
            <w:br/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660 €</w:t>
            </w:r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748 €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1 517</w:t>
            </w:r>
          </w:p>
        </w:tc>
      </w:t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Valeur 2019 </w:t>
            </w:r>
            <w:br/>
            <w:r>
              <w:rPr>
                <w:sz w:val="17"/>
                <w:szCs w:val="17"/>
                <w:b w:val="1"/>
                <w:bCs w:val="1"/>
              </w:rPr>
              <w:t xml:space="preserve">(arrondie à l'euro inférieur)</w:t>
            </w:r>
            <w:br/>
            <w:br/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753 €</w:t>
            </w:r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854 €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1 733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4075&amp;idArticle=LEGIARTI000023368811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2026-01-23T11:11:32+01:00</dcterms:created>
  <dcterms:modified xsi:type="dcterms:W3CDTF">2026-01-23T11:11:32+01:00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