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sociale complémentaire. Obligation (non)</w:t>
      </w:r>
    </w:p>
    <w:p>
      <w:pPr>
        <w:pStyle w:val="Heading2"/>
      </w:pPr>
      <w:r>
        <w:rPr/>
        <w:t xml:space="preserve">Revue - Fonction Publique Territoriale</w:t>
      </w:r>
    </w:p>
    <w:p>
      <w:pPr>
        <w:pStyle w:val="Heading3"/>
      </w:pPr>
      <w:r>
        <w:rPr/>
        <w:t xml:space="preserve">Source - Réponses ministérielles</w:t>
      </w:r>
    </w:p>
    <w:p/>
    <w:p>
      <w:pPr/>
      <w:r>
        <w:rPr/>
        <w:t xml:space="preserve"> L'article 22 </w:t>
      </w:r>
    </w:p>
    <w:p>
      <w:pPr/>
      <w:r>
        <w:rPr>
          <w:i w:val="1"/>
          <w:iCs w:val="1"/>
        </w:rPr>
        <w:t xml:space="preserve">bis</w:t>
      </w:r>
    </w:p>
    <w:p>
      <w:pPr/>
      <w:r>
        <w:rPr/>
        <w:t xml:space="preserve"> de la loi n° 83-634 du 13 juillet 1983 portant droits et obligations des fonctionnaires ouvre la possibilité aux employeurs publics de participer, à titre facultatif, au financement de la protection sociale complémentaire (PSC) de leurs agents. Dans la fonction publique territoriale, le dispositif de PSC a été instauré par le décret n° 2011-1474 du 8 novembre 2011 relatif à la participation des collectivités territoriales et de leurs établissements publics au financement de la protection sociale complémentaire de leurs agents et ses quatre arrêtés d'application du même jour. Ce cadre juridique permet aux collectivités qui le souhaitent de verser une aide financière à leurs agents qui souscrivent à des contrats ou règlements en matière de santé et en prévoyance au moyen de deux procédures distinctes de participation financière : le conventionnement ou la labellisation. Conformément aux dispositions de l'article 1</w:t>
      </w:r>
    </w:p>
    <w:p>
      <w:pPr/>
      <w:r>
        <w:rPr>
          <w:vertAlign w:val="superscript"/>
        </w:rPr>
        <w:t xml:space="preserve">er</w:t>
      </w:r>
    </w:p>
    <w:p>
      <w:pPr/>
      <w:r>
        <w:rPr/>
        <w:t xml:space="preserve"> du décret du 8 novembre 2011 précité, ce dispositif bénéficie à l'ensemble des personnels relevant des collectivités territoriales ou de leurs établissements publics à savoir les fonctionnaires, les contractuels de droit public et les contractuels de droit privé (principalement les contrats d'avenir, contrats d'accompagnement dans l'emploi et contrats d'apprentissage). En conséquence, les dispositions de la loi n° 2013-504 du 13 juin 2013 relative à la sécurisation de l'emploi, qui imposent aux employeurs privés de mettre en place une mutuelle d'entreprise et de participer obligatoirement au financement des cotisations versées à ces organismes, ne sont pas aujourd'hui opposables aux employeurs publics (</w:t>
      </w:r>
    </w:p>
    <w:p>
      <w:pPr/>
      <w:r>
        <w:rPr>
          <w:i w:val="1"/>
          <w:iCs w:val="1"/>
        </w:rPr>
        <w:t xml:space="preserve">JO</w:t>
      </w:r>
    </w:p>
    <w:p>
      <w:pPr/>
      <w:r>
        <w:rPr/>
        <w:t xml:space="preserve"> Sénat, 31.01.2019, question n° 06432, p. 550)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2026-01-23T06:44:00+01:00</dcterms:created>
  <dcterms:modified xsi:type="dcterms:W3CDTF">2026-01-23T06:44:00+01:00</dcterms:modified>
</cp:coreProperties>
</file>

<file path=docProps/custom.xml><?xml version="1.0" encoding="utf-8"?>
<Properties xmlns="http://schemas.openxmlformats.org/officeDocument/2006/custom-properties" xmlns:vt="http://schemas.openxmlformats.org/officeDocument/2006/docPropsVTypes"/>
</file>