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Réunions des assemblées délibérantes des intercommunalités. Affichage des convocations</w:t>
      </w:r>
    </w:p>
    <w:p>
      <w:pPr>
        <w:pStyle w:val="Heading2"/>
      </w:pPr>
      <w:r>
        <w:rPr/>
        <w:t xml:space="preserve">Revue - Intercommunalité</w:t>
      </w:r>
    </w:p>
    <w:p>
      <w:pPr>
        <w:pStyle w:val="Heading3"/>
      </w:pPr>
      <w:r>
        <w:rPr/>
        <w:t xml:space="preserve">Source - JO AN - JO Sénat</w:t>
      </w:r>
    </w:p>
    <w:p/>
    <w:p>
      <w:pPr/>
      <w:r>
        <w:rPr/>
        <w:t xml:space="preserve"> Les convocations aux réunions de l'organe délibérant de l'EPCI relèvent du même régime que les convocations aux séances des conseils municipaux (CE, 6 octobre 1995, </w:t>
      </w:r>
    </w:p>
    <w:p>
      <w:pPr/>
      <w:hyperlink r:id="rId7" w:history="1">
        <w:r>
          <w:rPr/>
          <w:t xml:space="preserve">Centre interdépartemental de gestion des personnels des communes de la Petite Couronne de la région Île-de-France</w:t>
        </w:r>
      </w:hyperlink>
    </w:p>
    <w:p>
      <w:pPr/>
      <w:r>
        <w:rPr/>
        <w:t xml:space="preserve">, n° 95347). Or, la convocation du conseil municipal est soumise à des mesures de publicité destinées à assurer l'information des citoyens. En effet, conformément aux dispositions de l'article L 2121-10 du CGCT, cette convocation par le maire est mentionnée au registre des délibérations, affichée ou publiée. L'article R 2121-7 du même code précise que l'affichage des convocations du conseil municipal a lieu à la porte de la mairie. Aussi, la convocation des membres de l'organe délibérant d'un EPCI doit-elle être affichée à la porte du siège de l'EPCI ou du lieu choisi par l'organe délibérant pour tenir ses réunions. Cependant, aucune disposition législative ou réglementaire n'impose que les convocations des membres de l'organe délibérant d'un EPCI fassent l'objet de mesures supplémentaires de publicité, telles que l'affichage à la porte des mairies des communes membres de cet EPCI. Les mesures de publicité des convocations définies par l'article L 2121-10 du CGCT ne sont pas prescrites à peine de nullité des délibérations, leur méconnaissance n'entachant pas d'illégalité les délibérations prises au cours de la séance (CE, 27 octobre 1976, </w:t>
      </w:r>
    </w:p>
    <w:p>
      <w:pPr/>
      <w:hyperlink r:id="rId8" w:history="1">
        <w:r>
          <w:rPr>
            <w:i w:val="1"/>
            <w:iCs w:val="1"/>
          </w:rPr>
          <w:t xml:space="preserve">Mlle Prat</w:t>
        </w:r>
      </w:hyperlink>
    </w:p>
    <w:p>
      <w:pPr/>
      <w:r>
        <w:rPr/>
        <w:t xml:space="preserve">, n° 97689 ; CE, 22 mars 1993, </w:t>
      </w:r>
    </w:p>
    <w:p>
      <w:pPr/>
      <w:hyperlink r:id="rId9" w:history="1">
        <w:r>
          <w:rPr>
            <w:i w:val="1"/>
            <w:iCs w:val="1"/>
          </w:rPr>
          <w:t xml:space="preserve">SCI Les Voiliers</w:t>
        </w:r>
      </w:hyperlink>
    </w:p>
    <w:p>
      <w:pPr/>
      <w:r>
        <w:rPr/>
        <w:t xml:space="preserve">, n° 112595) (</w:t>
      </w:r>
    </w:p>
    <w:p>
      <w:pPr/>
      <w:r>
        <w:rPr>
          <w:i w:val="1"/>
          <w:iCs w:val="1"/>
        </w:rPr>
        <w:t xml:space="preserve">JO </w:t>
      </w:r>
    </w:p>
    <w:p>
      <w:pPr/>
      <w:r>
        <w:rPr/>
        <w:t xml:space="preserve">Sénat, 28.02.2019, question n° 08486, p. 1133).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57549&amp;fastReqId=1250811060&amp;fastPos=1" TargetMode="External"/><Relationship Id="rId8" Type="http://schemas.openxmlformats.org/officeDocument/2006/relationships/hyperlink" Target="https://www.legifrance.gouv.fr/affichJuriAdmin.do?oldAction=rechJuriAdmin&amp;idTexte=CETATEXT000007652464&amp;fastReqId=1507222343&amp;fastPos=1" TargetMode="External"/><Relationship Id="rId9" Type="http://schemas.openxmlformats.org/officeDocument/2006/relationships/hyperlink" Target="https://www.legifrance.gouv.fr/affichJuriAdmin.do?oldAction=rechJuriAdmin&amp;idTexte=CETATEXT000007812181&amp;fastReqId=11541312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2026-05-02T12:02:08+02:00</dcterms:created>
  <dcterms:modified xsi:type="dcterms:W3CDTF">2026-05-02T12:02:08+02:00</dcterms:modified>
</cp:coreProperties>
</file>

<file path=docProps/custom.xml><?xml version="1.0" encoding="utf-8"?>
<Properties xmlns="http://schemas.openxmlformats.org/officeDocument/2006/custom-properties" xmlns:vt="http://schemas.openxmlformats.org/officeDocument/2006/docPropsVTypes"/>
</file>