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Maîtrise d'oeuvre. Avant-projet définitif. Dépassement excessif de l'enveloppe prévisionnelle (+ 36 %). Résiliation pour motif d'intérêt général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dépassement excessif du budget prévisionnel par le maître d'œuvre dans l'avant-projet définitif est susceptible de fonder la résiliation d'un marché (art. 33 du cahier des clauses administratives générales applicables aux marchés publics de prestations intellectuelles, relatif à la résiliation pour motif d'intérêt général). En l'espèce, l'estimation figurant dans l'avant-projet définitif établi par la société était supérieur de 36 % au montant admis par le maître d'ouvrage. La résiliation en litige a pu être valablement fondée sur un motif tiré du dépassement excessif de l'enveloppe prévisionnelle déjà réévaluée (CAA Bordeaux, 14 décembre 2018,</w:t>
      </w:r>
    </w:p>
    <w:p>
      <w:pPr/>
      <w:r>
        <w:rPr>
          <w:i w:val="1"/>
          <w:iCs w:val="1"/>
        </w:rPr>
        <w:t xml:space="preserve"> société Groupe BETC</w:t>
      </w:r>
    </w:p>
    <w:p>
      <w:pPr/>
      <w:r>
        <w:rPr/>
        <w:t xml:space="preserve">, n° 16BX01224).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2026-06-13T15:33:14+02:00</dcterms:created>
  <dcterms:modified xsi:type="dcterms:W3CDTF">2026-06-13T15:33:14+02:00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