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pour invalidité temporaire imputable au service dans la fonction publique territoriale. Modalités d'octroi et de renouvellement</w:t>
      </w:r>
    </w:p>
    <w:p>
      <w:pPr>
        <w:pStyle w:val="Heading2"/>
      </w:pPr>
      <w:r>
        <w:rPr/>
        <w:t xml:space="preserve">Revue - Fonction Publique Territoriale</w:t>
      </w:r>
    </w:p>
    <w:p>
      <w:pPr>
        <w:pStyle w:val="Heading3"/>
      </w:pPr>
      <w:r>
        <w:rPr/>
        <w:t xml:space="preserve">Source - JO</w:t>
      </w:r>
    </w:p>
    <w:p/>
    <w:p>
      <w:pPr/>
      <w:r>
        <w:rPr/>
        <w:t xml:space="preserve"> Le décret n° 2019-301 du 10 avril 2019 fixe, pour les fonctionnaires territoriaux, les modalités d'octroi et de renouvellement du congé pour invalidité temporaire imputable au service consécutif à un accident reconnu imputable au service, à un accident de trajet ou à une maladie contractée en service. Il détermine les effets du congé sur la situation administrative du fonctionnaire, les obligations lui incombant et les prérogatives de l'autorité territoriale.    Il entre en vigueur le lendemain de sa publication. Des dispositions transitoires prévoient d'une part, que les conditions de forme et de délais ne sont pas applicables aux fonctionnaires ayant adressé une déclaration d'accident de service, de trajet ou de maladie professionnelle avant la date d'entrée en vigueur du présent décret et d'autre part, que les conditions de délais courent à compter du 1</w:t>
      </w:r>
    </w:p>
    <w:p>
      <w:pPr/>
      <w:r>
        <w:rPr>
          <w:vertAlign w:val="superscript"/>
        </w:rPr>
        <w:t xml:space="preserve">er </w:t>
      </w:r>
    </w:p>
    <w:p>
      <w:pPr/>
      <w:r>
        <w:rPr/>
        <w:t xml:space="preserve">juin 2019 lorsqu'un accident ou une maladie professionnelle n'a pas encore fait l'objet d'une déclaration.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2026-04-28T04:40:00+02:00</dcterms:created>
  <dcterms:modified xsi:type="dcterms:W3CDTF">2026-04-28T04:40:00+02:00</dcterms:modified>
</cp:coreProperties>
</file>

<file path=docProps/custom.xml><?xml version="1.0" encoding="utf-8"?>
<Properties xmlns="http://schemas.openxmlformats.org/officeDocument/2006/custom-properties" xmlns:vt="http://schemas.openxmlformats.org/officeDocument/2006/docPropsVTypes"/>
</file>