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Modalités de communication et de réutilisation</w:t>
      </w:r>
    </w:p>
    <w:p>
      <w:pPr>
        <w:pStyle w:val="Heading2"/>
      </w:pPr>
      <w:r>
        <w:rPr/>
        <w:t xml:space="preserve">Revue - Etat Civil</w:t>
      </w:r>
    </w:p>
    <w:p>
      <w:pPr>
        <w:pStyle w:val="Heading3"/>
      </w:pPr>
      <w:r>
        <w:rPr/>
        <w:t xml:space="preserve">Source - JO AN - JO Sénat</w:t>
      </w:r>
    </w:p>
    <w:p/>
    <w:p>
      <w:pPr/>
      <w:r>
        <w:rPr>
          <w:b w:val="1"/>
          <w:bCs w:val="1"/>
        </w:rPr>
        <w:t xml:space="preserve">1. Principe.</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w:t>
      </w:r>
    </w:p>
    <w:p>
      <w:pPr/>
      <w:r>
        <w:rPr>
          <w:b w:val="1"/>
          <w:bCs w:val="1"/>
        </w:rPr>
        <w:t xml:space="preserve">2. Modalités de communication.</w:t>
      </w:r>
    </w:p>
    <w:p>
      <w:pPr/>
      <w:r>
        <w:rPr/>
        <w:t xml:space="preserve">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(ex. : appareil photographique ou téléphone portable) sur place, dans les locaux de la collectivité ou de l'administration, et sous la surveillance permanente d'un agent public. </w:t>
      </w:r>
    </w:p>
    <w:p>
      <w:pPr/>
      <w:r>
        <w:rPr>
          <w:b w:val="1"/>
          <w:bCs w:val="1"/>
        </w:rPr>
        <w:t xml:space="preserve">3. Exception : registres détériorés.</w:t>
      </w:r>
    </w:p>
    <w:p>
      <w:pPr/>
      <w:r>
        <w:rPr/>
        <w:t xml:space="preserve">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w:t>
      </w:r>
    </w:p>
    <w:p>
      <w:pPr/>
      <w:r>
        <w:rPr>
          <w:b w:val="1"/>
          <w:bCs w:val="1"/>
        </w:rPr>
        <w:t xml:space="preserve">4. Modalités de reproduction.</w:t>
      </w:r>
    </w:p>
    <w:p>
      <w:pPr/>
      <w:r>
        <w:rPr/>
        <w:t xml:space="preserve">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w:t>
      </w:r>
    </w:p>
    <w:p>
      <w:pPr/>
      <w:r>
        <w:rPr>
          <w:b w:val="1"/>
          <w:bCs w:val="1"/>
        </w:rPr>
        <w:t xml:space="preserve">5. Réutilisation.</w:t>
      </w:r>
    </w:p>
    <w:p>
      <w:pPr/>
      <w:r>
        <w:rPr/>
        <w:t xml:space="preserve">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règlement (UE) 2016/679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7" w:history="1">
        <w:r>
          <w:rPr/>
          <w:t xml:space="preserve">n° 2011-383</w:t>
        </w:r>
      </w:hyperlink>
    </w:p>
    <w:p>
      <w:pPr/>
      <w:r>
        <w:rPr/>
        <w:t xml:space="preserve"> du 24 novembre 2011 et </w:t>
      </w:r>
    </w:p>
    <w:p>
      <w:pPr/>
      <w:hyperlink r:id="rId8"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09323,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nil.do?oldAction=rechExpCnil&amp;id=CNILTEXT000024970389&amp;fastReqId=1690441000&amp;fastPos=215" TargetMode="External"/><Relationship Id="rId8"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2026-03-10T15:04:45+01:00</dcterms:created>
  <dcterms:modified xsi:type="dcterms:W3CDTF">2026-03-10T15:04:45+01:00</dcterms:modified>
</cp:coreProperties>
</file>

<file path=docProps/custom.xml><?xml version="1.0" encoding="utf-8"?>
<Properties xmlns="http://schemas.openxmlformats.org/officeDocument/2006/custom-properties" xmlns:vt="http://schemas.openxmlformats.org/officeDocument/2006/docPropsVTypes"/>
</file>