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taux de cotisation obligatoire au fonds de financement de l'allocation de fin de mandat</w:t>
      </w:r>
    </w:p>
    <w:p>
      <w:pPr>
        <w:pStyle w:val="Heading2"/>
      </w:pPr>
      <w:r>
        <w:rPr/>
        <w:t xml:space="preserve">Revue - Vie Communale</w:t>
      </w:r>
    </w:p>
    <w:p>
      <w:pPr>
        <w:pStyle w:val="Heading3"/>
      </w:pPr>
      <w:r>
        <w:rPr/>
        <w:t xml:space="preserve">Source - JO</w:t>
      </w:r>
    </w:p>
    <w:p/>
    <w:p>
      <w:pPr/>
      <w:r>
        <w:rPr/>
        <w:t xml:space="preserve"> Le décret n° 2019-546 du 29 mai 2019 fixe à 0,2 % le taux de la cotisation annuelle obligatoire que les collectivités territoriales et les EPCI à fiscalité propre, dont le nombre d'habitants est supérieur à 1 000 habitants, doivent verser au fonds d'allocation des élus en fin de mandat, géré par la Caisse des dépôts et consignations. L'article L 1621-2 du CGCT prévoit que le taux de cette cotisation est fixé compte tenu des besoins de financement du fonds. Le bilan 2017 de la gestion du fonds faisant apparaître un besoin de financement excédent, de sorte que le décret prévoit, ainsi que l'a préconisé le comité des finances locales, un taux de cotisation fixé à 0,2 %. Ce taux sera revu lorsque les besoins de financement du fonds le rendront nécessaire. L'assiette de la cotisation demeure inchangée.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2026-04-28T03:35:53+02:00</dcterms:created>
  <dcterms:modified xsi:type="dcterms:W3CDTF">2026-04-28T03:35:53+02:00</dcterms:modified>
</cp:coreProperties>
</file>

<file path=docProps/custom.xml><?xml version="1.0" encoding="utf-8"?>
<Properties xmlns="http://schemas.openxmlformats.org/officeDocument/2006/custom-properties" xmlns:vt="http://schemas.openxmlformats.org/officeDocument/2006/docPropsVTypes"/>
</file>