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Permis de construire valant division. Taxe d'aménagement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Chacun des cotitulaires d'un permis de construire valant division est redevable de l'intégralité des taxes d'urbanisme qu'il génère.</w:t>
      </w:r>
    </w:p>
    <w:p>
      <w:pPr/>
      <w:r>
        <w:rPr/>
        <w:t xml:space="preserve"> Lorsqu'un permis de construire a été délivré à plusieurs personnes pour la construction de bâtiments dont le terrain d'assiette doit faire l'objet d'une division en propriété ou en jouissance avant l'achèvement des travaux (art. R 431-24 du code de l’urbanisme), les redevables de la taxe d'aménagement dont ce permis est le fait générateur sont les titulaires de celui-ci, chacun d'entre eux étant redevable de l'intégralité de la taxe due à raison de l'opération de construction autorisée (art. L 331-6 et L 331-24 du code de l'urbanisme) (CE, 19 juin 2019,</w:t>
      </w:r>
    </w:p>
    <w:p>
      <w:pPr/>
      <w:r>
        <w:rPr>
          <w:i w:val="1"/>
          <w:iCs w:val="1"/>
        </w:rPr>
        <w:t xml:space="preserve"> commune de Saint-Herblain,</w:t>
      </w:r>
    </w:p>
    <w:p>
      <w:pPr/>
      <w:r>
        <w:rPr/>
        <w:t xml:space="preserve"> n° 413967).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2026-06-13T21:54:38+02:00</dcterms:created>
  <dcterms:modified xsi:type="dcterms:W3CDTF">2026-06-13T21:54:38+02:00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