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d'état civil. Consultation et reproduction</w:t>
      </w:r>
    </w:p>
    <w:p>
      <w:pPr>
        <w:pStyle w:val="Heading2"/>
      </w:pPr>
      <w:r>
        <w:rPr/>
        <w:t xml:space="preserve">Revue - Etat Civil</w:t>
      </w:r>
    </w:p>
    <w:p>
      <w:pPr>
        <w:pStyle w:val="Heading3"/>
      </w:pPr>
      <w:r>
        <w:rPr/>
        <w:t xml:space="preserve">Source - JO AN - JO Sénat</w:t>
      </w:r>
    </w:p>
    <w:p/>
    <w:p>
      <w:pPr/>
      <w:r>
        <w:rPr>
          <w:b w:val="1"/>
          <w:bCs w:val="1"/>
        </w:rPr>
        <w:t xml:space="preserve">1. Consultation.</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Les documents librement communicables peuvent être consultés par les généalogistes amateurs dans les institutions qui les conservent : mairies, greffes ou services départementaux d'archives.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(appareil photographique ou téléphone portable, par exemple) sur place, dans les locaux de la collectivité ou de l'administration et sous la surveillance permanente d'un agent public.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w:t>
      </w:r>
    </w:p>
    <w:p>
      <w:pPr/>
      <w:r>
        <w:rPr>
          <w:b w:val="1"/>
          <w:bCs w:val="1"/>
        </w:rPr>
        <w:t xml:space="preserve">2. Reproduction.</w:t>
      </w:r>
    </w:p>
    <w:p>
      <w:pPr/>
      <w:r>
        <w:rPr/>
        <w:t xml:space="preserve">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w:t>
      </w:r>
    </w:p>
    <w:p>
      <w:pPr/>
      <w:hyperlink r:id="rId7" w:history="1">
        <w:r>
          <w:rPr/>
          <w:t xml:space="preserve">règlement (UE) 2016/679</w:t>
        </w:r>
      </w:hyperlink>
    </w:p>
    <w:p>
      <w:pPr/>
      <w:r>
        <w:rPr/>
        <w:t xml:space="preserve">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8" w:history="1">
        <w:r>
          <w:rPr/>
          <w:t xml:space="preserve">n° 2011-383</w:t>
        </w:r>
      </w:hyperlink>
    </w:p>
    <w:p>
      <w:pPr/>
      <w:r>
        <w:rPr/>
        <w:t xml:space="preserve"> du 24 novembre 2011 et </w:t>
      </w:r>
    </w:p>
    <w:p>
      <w:pPr/>
      <w:hyperlink r:id="rId9"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07946,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HTML/?uri=CELEX:32016R0679&amp;from=FR" TargetMode="External"/><Relationship Id="rId8" Type="http://schemas.openxmlformats.org/officeDocument/2006/relationships/hyperlink" Target="https://www.legifrance.gouv.fr/affichCnil.do?oldAction=rechExpCnil&amp;id=CNILTEXT000024970389&amp;fastReqId=1690441000&amp;fastPos=215" TargetMode="External"/><Relationship Id="rId9"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2026-06-21T13:41:28+02:00</dcterms:created>
  <dcterms:modified xsi:type="dcterms:W3CDTF">2026-06-21T13:41:28+02:00</dcterms:modified>
</cp:coreProperties>
</file>

<file path=docProps/custom.xml><?xml version="1.0" encoding="utf-8"?>
<Properties xmlns="http://schemas.openxmlformats.org/officeDocument/2006/custom-properties" xmlns:vt="http://schemas.openxmlformats.org/officeDocument/2006/docPropsVTypes"/>
</file>