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Eau et assainissement. Solde du transfert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L'article L 1321-1 du CGCT prévoit que « le transfert d'une compétence entraîne de plein droit la mise à la disposition de la collectivité bénéficiaire des biens meubles et immeubles utilisés, à la date de ce transfert, pour l'exercice de cette compétence ». Ainsi, un emprunt souscrit pour réaliser des investissements indispensables à l'exercice du service sera mis à disposition de l'EPCI nouvellement compétent puisqu'il constitue une obligation attachée à un bien, équipement ou service nécessaire au service. La même solution tend à s'appliquer pour les provisions pour investissements. Toutefois, le Conseil d'État a eu l'occasion de rappeler (CE, 25 mars 2016, </w:t>
      </w:r>
    </w:p>
    <w:p>
      <w:pPr/>
      <w:hyperlink r:id="rId7" w:history="1">
        <w:r>
          <w:rPr>
            <w:i w:val="1"/>
            <w:iCs w:val="1"/>
          </w:rPr>
          <w:t xml:space="preserve">commune de la Motte-Ternant</w:t>
        </w:r>
      </w:hyperlink>
    </w:p>
    <w:p>
      <w:pPr/>
      <w:r>
        <w:rPr/>
        <w:t xml:space="preserve">, n° 386623) que « le solde du compte administratif du budget annexe d'un service public à caractère industriel et commercial ne constitue pas un bien qui serait nécessaire à l'exercice de ce service public, ni un ensemble de droits et obligations qui lui seraient attachés » (</w:t>
      </w:r>
    </w:p>
    <w:p>
      <w:pPr/>
      <w:r>
        <w:rPr>
          <w:i w:val="1"/>
          <w:iCs w:val="1"/>
        </w:rPr>
        <w:t xml:space="preserve">JO </w:t>
      </w:r>
    </w:p>
    <w:p>
      <w:pPr/>
      <w:r>
        <w:rPr/>
        <w:t xml:space="preserve">Sénat, 17.10.2019, question n° 10305, p. 5260).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JuriAdmin.do?oldAction=rechJuriAdmin&amp;idTexte=CETATEXT000032308133&amp;fastReqId=969792836&amp;fastPos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2026-04-29T11:11:57+02:00</dcterms:created>
  <dcterms:modified xsi:type="dcterms:W3CDTF">2026-04-29T11:11:57+02:00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