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r>
        <w:rPr/>
        <w:t xml:space="preserve">Attribution des nuances politiques aux élections municipales. Circulaire n° INTA1931378J du 3 février 2020</w:t>
      </w:r>
    </w:p>
    <w:p>
      <w:pPr>
        <w:pStyle w:val="Heading2"/>
      </w:pPr>
      <w:r>
        <w:rPr/>
        <w:t xml:space="preserve">Revue - Vie Communale</w:t>
      </w:r>
    </w:p>
    <w:p>
      <w:pPr>
        <w:pStyle w:val="Heading3"/>
      </w:pPr>
      <w:r>
        <w:rPr/>
        <w:t xml:space="preserve">Source - Circulaire</w:t>
      </w:r>
    </w:p>
    <w:p/>
    <w:p>
      <w:pPr/>
      <w:r>
        <w:rPr/>
        <w:t xml:space="preserve"> La circulaire n° INTA1931378J du 3 février 2020 est relative à l'attribution des nuances politiques aux candidats aux élections municipales et communautaires des 15 et 22 mars 2020. Le ministère de l’Intérieur a modifié sa circulaire, abaissant le seuil pour procéder au « nuançage » de 9 000 à 3 500 habitants.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before="220" w:after="240"/>
    </w:pPr>
    <w:rPr>
      <w:rFonts w:ascii="Arial" w:hAnsi="Arial" w:eastAsia="Arial" w:cs="Arial"/>
      <w:color w:val="000000"/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spacing w:after="240"/>
    </w:pPr>
    <w:rPr>
      <w:rFonts w:ascii="Arial" w:hAnsi="Arial" w:eastAsia="Arial" w:cs="Arial"/>
      <w:color w:val="000000"/>
      <w:sz w:val="28"/>
      <w:szCs w:val="28"/>
      <w:b w:val="1"/>
      <w:bCs w:val="1"/>
    </w:rPr>
  </w:style>
  <w:style w:type="paragraph" w:styleId="Heading3">
    <w:link w:val="Heading3Char"/>
    <w:name w:val="heading 3"/>
    <w:basedOn w:val="Normal"/>
    <w:pPr>
      <w:spacing w:after="240"/>
    </w:pPr>
    <w:rPr>
      <w:rFonts w:ascii="Arial" w:hAnsi="Arial" w:eastAsia="Arial" w:cs="Arial"/>
      <w:color w:val="000000"/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2026-08-26T07:21:50+02:00</dcterms:created>
  <dcterms:modified xsi:type="dcterms:W3CDTF">2026-08-26T07:21:50+02:00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