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des voitures sur le trottoir. Autorisation du maire (conditions)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Dans l'exercice des pouvoirs de police qui lui sont confiés en vertu de l'article L 2213-1 et du 2° de l'article L 2213-2 du CGCT, il appartient au maire de prendre les mesures nécessaires pour concilier les droits de l'ensemble des usagers de la voie publique et les contraintes liées, le cas échéant, à la circulation et au stationnement de leurs véhicules.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le maire ne saurait légalement, dans l'exercice de ses pouvoirs de police, prendre des mesures contraires au code de la route, les dispositions de l'article R 417-10 de ce code ne font pas obstacle à ce que, lorsque les besoins du stationnement et la configuration de la voie publique le rendent nécessaire, le maire autorise le stationnement de véhicules sur une partie des trottoirs, à condition qu'un passage suffisant soit réservé au cheminement des piétons, notamment de ceux qui sont à mobilité réduite, ainsi qu'à leur accès aux habitations et aux commerces riverains et qu'une signalisation adéquate précise les emplacements autorisés (CE, 8 juillet 2020, </w:t>
      </w:r>
    </w:p>
    <w:p>
      <w:pPr/>
      <w:r>
        <w:rPr>
          <w:i w:val="1"/>
          <w:iCs w:val="1"/>
        </w:rPr>
        <w:t xml:space="preserve">commune d'Olonne-sur-Mer</w:t>
      </w:r>
    </w:p>
    <w:p>
      <w:pPr/>
      <w:r>
        <w:rPr/>
        <w:t xml:space="preserve">, n° 425556).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2026-06-13T18:53:36+02:00</dcterms:created>
  <dcterms:modified xsi:type="dcterms:W3CDTF">2026-06-13T18:53:36+02:00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