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Modalités de partage</w:t>
      </w:r>
    </w:p>
    <w:p>
      <w:pPr>
        <w:pStyle w:val="Heading2"/>
      </w:pPr>
      <w:r>
        <w:rPr/>
        <w:t xml:space="preserve">Revue - Fonction Publique Territoriale</w:t>
      </w:r>
    </w:p>
    <w:p>
      <w:pPr>
        <w:pStyle w:val="Heading3"/>
      </w:pPr>
      <w:r>
        <w:rPr/>
        <w:t xml:space="preserve">Source - JO</w:t>
      </w:r>
    </w:p>
    <w:p/>
    <w:p>
      <w:pPr/>
      <w:r>
        <w:rPr/>
        <w:t xml:space="preserve"> Le décret n° 2020-1366 du 10 novembre 2020 précise les modalités de partage du supplément familial de traitement en cas de divorce, de séparation de droit ou de fait des époux ou de cessation de vie commune des concubins, notamment en cas de résidence alternée de l'enfant.  En cas de résidence alternée de l'enfant au domicile de chacun des parents telle que prévue à l'article 373-2-9 du code civil, mise en œuvre de manière effective, la charge de l'enfant pour le calcul du supplément familial de traitement peut être partagée par moitié entre les deux parents dans les cas ci-après : - lorsque les parents en ont fait la demande conjointe ;</w:t>
      </w:r>
    </w:p>
    <w:p/>
    <w:p>
      <w:pPr/>
      <w:r>
        <w:rPr/>
        <w:t xml:space="preserve">- lorsque les parents sont en désaccord sur la désignation du bénéficiaire unique. Lorsque les parents ont fait une demande conjointe de partage, ils ne peuvent remettre en cause les modalités ainsi choisies qu'au bout d'un an, sauf changement du mode de résidence de l'enfant. En cas de mise en œuvre du partage de la garde de l'enfant dans les conditions précitées, le supplément familial de traitement dû à chacun des parents est égal au montant dû pour l'ensemble des enfants dont il est le parent ou dont il a la charge effective et permanente, multiplié par un coefficient résultant du rapport entre le nombre moyen de ses enfants et le nombre total d'enfants dont il est le parent ou a la charge effective et permanente. Lorsque son ancien conjoint est fonctionnaire ou agent public, le bénéficiaire peut demander à ce que le supplément familial de traitement qui lui est dû soit calculé du chef de son ancien conjoint. Dans ce cas, le supplément familial de traitement est calculé sur la base de l'indice de traitement de l'ancien conjoint. Le montant du supplément familial de traitement est alors égal au montant dû au titre du nombre d'enfants dont l'ancien conjoint est le parent ou dont il a la charge effective et permanente, multiplié par un coefficient résultant du rapport entre le nombre moyen d'enfants du parent bénéficiaire et le nombre total d'enfants dont l'ancien conjoint est le parent ou dont il a la charge effective et permanente. Le nombre moyen d'enfants pour chaque parent est obtenu en faisant la somme du nombre d'enfants à sa charge dans les conditions suivantes : - chaque enfant en résidence alternée compte pour 0,5 ;</w:t>
      </w:r>
    </w:p>
    <w:p/>
    <w:p>
      <w:pPr/>
      <w:r>
        <w:rPr/>
        <w:t xml:space="preserve">- les autres enfants à charge comptent pour 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2026-04-28T14:02:05+02:00</dcterms:created>
  <dcterms:modified xsi:type="dcterms:W3CDTF">2026-04-28T14:02:05+02:00</dcterms:modified>
</cp:coreProperties>
</file>

<file path=docProps/custom.xml><?xml version="1.0" encoding="utf-8"?>
<Properties xmlns="http://schemas.openxmlformats.org/officeDocument/2006/custom-properties" xmlns:vt="http://schemas.openxmlformats.org/officeDocument/2006/docPropsVTypes"/>
</file>