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Recevabilité du recours de plein contentieux des tiers. Application de la jurisprudence "Tarn-et-Garonne" à un avenant à un contrat signé avant le 4 avril 2014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la jurisprudence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 (CE Ass., 4 avril 2014, n° 358994), la contestation de la validité des contrats administratifs par les tiers doit faire l'objet d'un recours de pleine juridiction dans les conditions définies par cette décision. Toutefois, cette décision a jugé que le recours ainsi défini ne trouve à s'appliquer qu'à l'encontre des contrats signés à compter du 4 avril 2014, date de sa lecture, la contestation des contrats signés antérieurement à cette date continuant d'être appréciée au regard des règles applicables avant cette décision. Ainsi, un avenant signé après le 4 avril 2014 doit être contesté dans les conditions prévues par la décision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, quand bien même il modifie un contrat signé antérieurement à cette date (CE, 20 novembre 2020,</w:t>
      </w:r>
    </w:p>
    <w:p>
      <w:pPr/>
      <w:r>
        <w:rPr>
          <w:i w:val="1"/>
          <w:iCs w:val="1"/>
        </w:rPr>
        <w:t xml:space="preserve"> association Trans'Cub et autres</w:t>
      </w:r>
    </w:p>
    <w:p>
      <w:pPr/>
      <w:r>
        <w:rPr/>
        <w:t xml:space="preserve">, n° 428156).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28823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2026-08-26T03:33:52+02:00</dcterms:created>
  <dcterms:modified xsi:type="dcterms:W3CDTF">2026-08-26T03:33:52+02:00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