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de la délégation à un adjoint. Recours contre un projet de construction de la commune. Motif étranger à la bonne marche de l’administration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 fait qu’un adjoint, en sa qualité de riverain, ait déposé un recours à l’encontre d’un projet immobilier de la commune, ne constitue pas un motif légal de retrait de délégation.</w:t>
      </w:r>
    </w:p>
    <w:p>
      <w:pPr/>
      <w:r>
        <w:rPr/>
        <w:t xml:space="preserve"> Selon une jurisprudence constante, le maire peut mettre fin à tout moment aux délégations qu’il a consenties aux élus, sous réserve que sa décision ne soit pas inspirée par des motifs étrangers à la bonne marche de l’administration communale (CE, 9 juin 1990, </w:t>
      </w:r>
    </w:p>
    <w:p>
      <w:pPr/>
      <w:hyperlink r:id="rId7" w:history="1">
        <w:r>
          <w:rPr/>
          <w:t xml:space="preserve">de Marin</w:t>
        </w:r>
      </w:hyperlink>
    </w:p>
    <w:p>
      <w:pPr/>
      <w:r>
        <w:rPr/>
        <w:t xml:space="preserve">, n° 86148). En l’espèce, le retrait de délégation en raison de l’introduction, par un adjoint, d’un recours à l’encontre d’un permis concernant une parcelle contiguë à sa propriété repose sur un motif étranger à la bonne marche de l’administration. De plus, l’adjoint n’a fait aucune publicité sur ce recours. L’exercice de la faculté ouverte à tout citoyen disposant d’un intérêt pour agir à l’encontre d’une autorisation d’urbanisme ne saurait à elle-seule être regardée comme la mise en cause de la politique municipale en matière d’urbanisme ou la manifestation de dissensions de nature à perturber la bonne gestion des affaires municipales. Dès lors, l’annulation du retrait de délégation est confirmée (CAA Versailles, 15 octobre 2020, </w:t>
      </w:r>
    </w:p>
    <w:p>
      <w:pPr/>
      <w:r>
        <w:rPr>
          <w:i w:val="1"/>
          <w:iCs w:val="1"/>
        </w:rPr>
        <w:t xml:space="preserve">M. F.</w:t>
      </w:r>
    </w:p>
    <w:p>
      <w:pPr/>
      <w:r>
        <w:rPr/>
        <w:t xml:space="preserve">, n° 19VE03184).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07777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2026-01-23T16:41:00+01:00</dcterms:created>
  <dcterms:modified xsi:type="dcterms:W3CDTF">2026-01-23T16:41:00+01:00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