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Evolution du fonds de solidarité à destination des entreprises particulièrement touchées par les conséquences de la crise sanitaire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2020-1620 du 19 décembre 2020 fait évoluer le fonds en décembre 2020 pour mieux couvrir les coûts fixes pour les entreprises demeurant fermées et celles des secteurs dits « S1 », et en faire bénéficier les grandes PME qui n'étaient pas éligibles jusqu'ici. Il fait évoluer le fonds de solidarité, pour l'aide de décembre, notamment comme suit : - pour les entreprises fermées (notamment cafés, restaurants, salles de sport) : au choix de l'entreprise, l'aide correspond soit à l'aide forfaitaire existante d'un montant maximal de 10 000 €, soit à une aide représentant 20 % du chiffre d'affaires ; ce dispositif est désormais étendu à toutes les entreprises sans critère de taille ;</w:t>
      </w:r>
    </w:p>
    <w:p/>
    <w:p>
      <w:pPr/>
      <w:r>
        <w:rPr/>
        <w:t xml:space="preserve">- pour les entreprises dites « S1 » directement affectées par les restrictions sanitaires qui ne sont pas soumises à une fermeture administrative (hôtels, tourisme, évènementiel, etc.) : le dispositif précédent est maintenu pour ces entreprises, sans critère de taille. Au choix de l'entreprise, l'aide correspond soit à l'aide forfaitaire existante d'un montant maximal de 10 000 €, soit à un pourcentage de chiffre d'affaires, avec une modulation du taux de prise en charge entre 15 et 20 % selon le taux de perte de chiffre d'affaires ;</w:t>
      </w:r>
    </w:p>
    <w:p/>
    <w:p>
      <w:pPr/>
      <w:r>
        <w:rPr/>
        <w:t xml:space="preserve">- entreprises du secteur S1 bis : le décret maintient l'aide mensuelle couvrant jusqu'à 80 % de la perte de chiffre d'affaires à concurrence de 10 000 € dès 50 % de pertes du CA sous réserve du respect de conditions de perte de 80 % du chiffre d'affaires pendant le premier ou le second confinement ;</w:t>
      </w:r>
    </w:p>
    <w:p/>
    <w:p>
      <w:pPr/>
      <w:r>
        <w:rPr/>
        <w:t xml:space="preserve">- autres entreprises : maintien de l'aide mensuelle à concurrence de 1500 €, dès 50 % de perte de chiffre d'affaires. Par ailleurs, un plafond d'aide de 200 000 € au niveau du groupe est introduit afin de respecter le régime-cadre temporaire européen. Le décret complète enfin le décret du 14 août précité applicable aux seules discothèques : les discothèques bénéficiant à compter du mois de décembre 2020 du dispositif de droit commun tel que précisé au 1, il prévoit que le volet 1 sera ouverte aux discothèques jusqu'au 30 novembre 2020 au lieu du 31 décembre 2020.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2026-06-13T12:03:52+02:00</dcterms:created>
  <dcterms:modified xsi:type="dcterms:W3CDTF">2026-06-13T12:03:52+02:00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