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Péril imminent. Frais et honoraires d’expertise. Prise en charge en cas de réalisation des mesures prescrites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propriétaire de l'immeuble a réalisé les mesures prescrites par l'arrêté de péril imminent, la collectivité n’a pas à procéder au recouvrement des sommes correspondant aux frais d'expertise et elle les supporte donc définitivement (CAA Nantes, 26 mars 2021, </w:t>
      </w:r>
    </w:p>
    <w:p>
      <w:pPr/>
      <w:r>
        <w:rPr>
          <w:i w:val="1"/>
          <w:iCs w:val="1"/>
        </w:rPr>
        <w:t xml:space="preserve">Nantes Métropole</w:t>
      </w:r>
    </w:p>
    <w:p>
      <w:pPr/>
      <w:r>
        <w:rPr/>
        <w:t xml:space="preserve">, n° 20NT01272).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2026-08-25T03:45:48+02:00</dcterms:created>
  <dcterms:modified xsi:type="dcterms:W3CDTF">2026-08-25T03:45:48+02:00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