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sur les surfaces commerciales (TaSCom). Elargissement du bénéfice de la réduction de taux de 20 %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taxe sur les surfaces commerciales (TaSCom) s'applique aux établissements de vente au détail d'une surface de plus de 400 m2, mais également aux établissements de moins de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contrôlés directement ou indirectement par une même personne (réseau intégré) et exploités sous une même enseigne commerciale lorsque la surface totale des points de vente excède 4 000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En application du dix-huitième alinéa de l'article 3 de la loi n° 72-657 du 13 juillet 1972 instituant des mesures en faveur de certaines catégories de commerçants et artisans âgés, le taux de la TaSCom fait l'objet d'une réduction, fixée par décret à 20 %, pour les seuls établissements dont la surface est comprise entre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et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, lorsque leur chiffre d'affaires par mètre carré n'excède pas 3 800 €. </w:t>
      </w:r>
    </w:p>
    <w:p>
      <w:pPr/>
      <w:hyperlink r:id="rId7" w:history="1">
        <w:r>
          <w:rPr/>
          <w:t xml:space="preserve">L'article 136</w:t>
        </w:r>
      </w:hyperlink>
    </w:p>
    <w:p>
      <w:pPr/>
      <w:r>
        <w:rPr/>
        <w:t xml:space="preserve"> de la loi n° 2020-1721 du 29 décembre 2020 de finances pour 2021 a modifié cette disposition afin de faire également bénéficier de la réduction de taux les établissements assujettis à la TaSCom dont la surface de vente au détail est inférieure à 400 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Désormais, la réduction de taux de 20 % s'applique donc, sous les mêmes conditions de chiffre d'affaires par mètre carré, à tous les établissements dont la surface des locaux de vente destinés à la vente au détail est inférieure à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Le décret modifie les termes de </w:t>
      </w:r>
    </w:p>
    <w:p>
      <w:pPr/>
      <w:hyperlink r:id="rId8" w:history="1">
        <w:r>
          <w:rPr/>
          <w:t xml:space="preserve">l'article 3</w:t>
        </w:r>
      </w:hyperlink>
    </w:p>
    <w:p>
      <w:pPr/>
      <w:r>
        <w:rPr/>
        <w:t xml:space="preserve"> du décret n° 95-85 du 26 janvier 1995, qui fixe les modalités et le taux de cette réduction, afin de les mettre en conformité avec la loi n° 72-657 du 13 juillet 1972 dans sa version issue de la loi de finances pour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42753580" TargetMode="External"/><Relationship Id="rId8" Type="http://schemas.openxmlformats.org/officeDocument/2006/relationships/hyperlink" Target="http://cidTexte=JORFTEXT0000003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2026-03-10T16:53:13+01:00</dcterms:created>
  <dcterms:modified xsi:type="dcterms:W3CDTF">2026-03-10T16:53:13+01:00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