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/><w:t xml:space="preserve">Marchés publics. Suppression des accords-cadres sans maximum au 1er janvier 2022</w:t></w:r></w:p><w:p><w:pPr><w:pStyle w:val="Heading2"/></w:pPr><w:r><w:rPr/><w:t xml:space="preserve">Revue - Marchés Publics</w:t></w:r></w:p><w:p><w:pPr><w:pStyle w:val="Heading3"/></w:pPr><w:r><w:rPr/><w:t xml:space="preserve">Source - JO</w:t></w:r></w:p><w:p/><w:p><w:pPr/><w:r><w:rPr/><w:t xml:space="preserve"> Le décret n° 2021-1111 du 23 août 2021 tire les conséquences de la décision de la Cour de justice de l'Union européenne (CJUE, 17 juin 2021,</w:t></w:r></w:p><w:p><w:pPr/><w:hyperlink r:id="rId7" w:history="1"><w:r><w:rPr><w:i w:val="1"/><w:iCs w:val="1"/></w:rPr><w:t xml:space="preserve">Simonsen & Weel A/S</w:t></w:r></w:hyperlink></w:p><w:p><w:pPr/><w:r><w:rPr/><w:t xml:space="preserve">, n° C-23/20) qui impose aux acheteurs d'indiquer dans les avis d'appel à la concurrence relatifs aux accords-cadres la quantité ou la valeur maximale des prestations qui pourront être commandées sur le fondement de l'accord-cadre. Ainsi, le décret supprime, à compter du 1</w:t></w:r></w:p><w:p><w:pPr/><w:r><w:rPr><w:vertAlign w:val="superscript"/></w:rPr><w:t xml:space="preserve">er</w:t></w:r></w:p><w:p><w:pPr/><w:r><w:rPr/><w:t xml:space="preserve"> janvier 2022, la possibilité de conclure des accords-cadres sans maximum.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ria.europa.eu/juris/document/document.jsf?text=&amp;docid=243105&amp;pageIndex=0&amp;doclang=fr&amp;mode=lst&amp;dir=&amp;occ=first&amp;part=1&amp;cid=353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2026-01-23T10:41:44+01:00</dcterms:created>
  <dcterms:modified xsi:type="dcterms:W3CDTF">2026-01-23T10:41:44+01:00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