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/>
        <w:t xml:space="preserve">Agent ayant quitté volontairement son emploi. Allocation chômage</w:t>
      </w:r>
    </w:p>
    <w:p>
      <w:pPr>
        <w:pStyle w:val="Heading2"/>
      </w:pPr>
      <w:r>
        <w:rPr/>
        <w:t xml:space="preserve">Revue - Fonction Publique Territoriale</w:t>
      </w:r>
    </w:p>
    <w:p>
      <w:pPr>
        <w:pStyle w:val="Heading3"/>
      </w:pPr>
      <w:r>
        <w:rPr/>
        <w:t xml:space="preserve">Source - Jurisprudence</w:t>
      </w:r>
    </w:p>
    <w:p/>
    <w:p>
      <w:pPr/>
      <w:r>
        <w:rPr/>
        <w:t xml:space="preserve"> En l'espèce, un agent ayant exercé les fonctions d'attachée de presse auprès d’une commune pendant 3 ans, qui se prévalait d'être restée involontairement privée d'emploi plus de 121 jours après le terme de ce contrat, a demandé à la commune de lui verser des allocations d'aide au retour à l'emploi (ARE). Le maire a rejeté cette demande au motif que l’agent avait volontairement quitté son emploi. Le Conseil d’Etat juge que les agents non titulaires des collectivités territoriales (agents visés au 2° de </w:t>
      </w:r>
    </w:p>
    <w:p>
      <w:pPr/>
      <w:hyperlink r:id="rId7" w:history="1">
        <w:r>
          <w:rPr/>
          <w:t xml:space="preserve">l'article L 5424-1</w:t>
        </w:r>
      </w:hyperlink>
    </w:p>
    <w:p>
      <w:pPr/>
      <w:r>
        <w:rPr/>
        <w:t xml:space="preserve"> du code du travail) ayant quitté volontairement leur emploi et dont l'état de chômage se prolonge contre leur volonté, en dépit de démarches actives de recherche d'emploi, ont droit à l'allocation d'aide au retour à l'emploi dès lors qu'ils satisfont à l'ensemble des conditions prévues. Ainsi, la commune ne pouvait légalement fonder son refus sur le fait que l’agent avait quitté volontairement son emploi. Par ailleurs, la commune n'était pas fondée à soutenir que l’agent n'attestait pas de ses recherches actives d'emploi. Par suite, la commune était tenue de lui verser ces allocations (CE, 5 juillet 2021, </w:t>
      </w:r>
    </w:p>
    <w:p>
      <w:pPr/>
      <w:r>
        <w:rPr>
          <w:i w:val="1"/>
          <w:iCs w:val="1"/>
        </w:rPr>
        <w:t xml:space="preserve">Mme B.</w:t>
      </w:r>
    </w:p>
    <w:p>
      <w:pPr/>
      <w:r>
        <w:rPr/>
        <w:t xml:space="preserve">, n° 429191).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before="220" w:after="240"/>
    </w:pPr>
    <w:rPr>
      <w:rFonts w:ascii="Arial" w:hAnsi="Arial" w:eastAsia="Arial" w:cs="Arial"/>
      <w:color w:val="000000"/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spacing w:after="240"/>
    </w:pPr>
    <w:rPr>
      <w:rFonts w:ascii="Arial" w:hAnsi="Arial" w:eastAsia="Arial" w:cs="Arial"/>
      <w:color w:val="000000"/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240"/>
    </w:pPr>
    <w:rPr>
      <w:rFonts w:ascii="Arial" w:hAnsi="Arial" w:eastAsia="Arial" w:cs="Arial"/>
      <w:color w:val="000000"/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legifrance.gouv.fr/codes/article_lc/LEGIARTI00003895195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2026-06-21T13:41:21+02:00</dcterms:created>
  <dcterms:modified xsi:type="dcterms:W3CDTF">2026-06-21T13:41:21+02:00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