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municipales. Contentieux. Distribution de masques. Communication sur l'opération. Faible écart de voix. Altération du scrutin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15 000 masques ont été distribués ; sur les 4 000 notices d'utilisation imprimées, 800 comportaient la photographie de M. D. (candidat). Eu égard au nombre d'électeurs ainsi susceptibles d'avoir reçu des masques associés à l'image de ce candidat, à l'importance que présentait pour la population, à cette période, une distribution de masques et au retentissement favorable qui en a nécessairement découlé sur l'image de M. D., lequel a régulièrement communiqué sur les opérations menées par l'association, cette irrégularité est de nature, compte tenu de l'écart de 161 voix séparant les deux listes arrivées en tête du second tour, à avoir altéré la sincérité du scrutin (CE, 18 août 2021, </w:t>
      </w:r>
    </w:p>
    <w:p>
      <w:pPr/>
      <w:hyperlink r:id="rId7" w:history="1">
        <w:r>
          <w:rPr>
            <w:i w:val="1"/>
            <w:iCs w:val="1"/>
          </w:rPr>
          <w:t xml:space="preserve">commune de Trappes</w:t>
        </w:r>
      </w:hyperlink>
    </w:p>
    <w:p>
      <w:pPr/>
      <w:r>
        <w:rPr/>
        <w:t xml:space="preserve">, n° 449592 ; CE, 18 août 2021, </w:t>
      </w:r>
    </w:p>
    <w:p>
      <w:pPr/>
      <w:hyperlink r:id="rId8" w:history="1">
        <w:r>
          <w:rPr>
            <w:i w:val="1"/>
            <w:iCs w:val="1"/>
          </w:rPr>
          <w:t xml:space="preserve">commune de Trappes</w:t>
        </w:r>
      </w:hyperlink>
    </w:p>
    <w:p>
      <w:pPr/>
      <w:r>
        <w:rPr/>
        <w:t xml:space="preserve">, n° 449593).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3950769" TargetMode="External"/><Relationship Id="rId8" Type="http://schemas.openxmlformats.org/officeDocument/2006/relationships/hyperlink" Target="https://www.legifrance.gouv.fr/ceta/id/CETATEXT000043950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2026-08-26T07:24:16+02:00</dcterms:created>
  <dcterms:modified xsi:type="dcterms:W3CDTF">2026-08-26T07:24:16+02:00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