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Continuité institutionnelle et dispositions dérogatoires pour les collectivités territoriales. FAQ. Mise à jour au 13.09.2021 (DGCL)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Informations pratiques</w:t>
      </w:r>
    </w:p>
    <w:p/>
    <w:p>
      <w:pPr/>
      <w:r>
        <w:rPr/>
        <w:t xml:space="preserve"> La DGCL a mis à jour sa foire aux questions (13 septembre 2021) concernant la continuité institutionnelle et les dispositions dérogatoires pour les collectivités territoriales pendant l’état d’urgence sanitaire. A compter du 1</w:t>
      </w:r>
    </w:p>
    <w:p>
      <w:pPr/>
      <w:r>
        <w:rPr>
          <w:vertAlign w:val="superscript"/>
        </w:rPr>
        <w:t xml:space="preserve">er</w:t>
      </w:r>
    </w:p>
    <w:p>
      <w:pPr/>
      <w:r>
        <w:rPr/>
        <w:t xml:space="preserve"> octobre 2021, les règles de droit commun s'appliquent à nouveau en ce qui concerne la réunion de l'organe délibérant (nombre limite de personnes, téléconférence, quorum, etc.). Par ailleurs, le passe sanitaire n'est pas requis pour participer à ces réunions.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2026-08-26T07:22:34+02:00</dcterms:created>
  <dcterms:modified xsi:type="dcterms:W3CDTF">2026-08-26T07:22:34+02:00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