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de lotir. Cristallisation des règles d'urbanisme applicables. Faculté d'opposer un sursis à statuer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déduit de </w:t>
      </w:r>
    </w:p>
    <w:p>
      <w:pPr/>
      <w:hyperlink r:id="rId7" w:history="1">
        <w:r>
          <w:rPr/>
          <w:t xml:space="preserve">l'article L 442-14</w:t>
        </w:r>
      </w:hyperlink>
    </w:p>
    <w:p>
      <w:pPr/>
      <w:r>
        <w:rPr/>
        <w:t xml:space="preserve"> du code de l'urbanisme que l'autorité compétente ne peut légalement surseoir à statuer, sur le fondement de </w:t>
      </w:r>
    </w:p>
    <w:p>
      <w:pPr/>
      <w:hyperlink r:id="rId8" w:history="1">
        <w:r>
          <w:rPr/>
          <w:t xml:space="preserve">l'article L 424-1</w:t>
        </w:r>
      </w:hyperlink>
    </w:p>
    <w:p>
      <w:pPr/>
      <w:r>
        <w:rPr/>
        <w:t xml:space="preserve"> du même code, sur une demande de permis de construire présentée dans les 5 ans suivant une décision de non-opposition à la déclaration préalable de lotissement au motif que la réalisation du projet de construction serait de nature à compromettre ou à rendre plus onéreuse l'exécution du futur plan local d'urbanisme (CE, 31 janvier 2022, </w:t>
      </w:r>
    </w:p>
    <w:p>
      <w:pPr/>
      <w:r>
        <w:rPr>
          <w:i w:val="1"/>
          <w:iCs w:val="1"/>
        </w:rPr>
        <w:t xml:space="preserve">commune de Rillieux-la-Pape</w:t>
      </w:r>
    </w:p>
    <w:p>
      <w:pPr/>
      <w:r>
        <w:rPr/>
        <w:t xml:space="preserve">, n° 449496).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94107" TargetMode="External"/><Relationship Id="rId8" Type="http://schemas.openxmlformats.org/officeDocument/2006/relationships/hyperlink" Target="https://www.legifrance.gouv.fr/codes/article_lc/LEGIARTI00004397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2026-04-30T15:43:53+02:00</dcterms:created>
  <dcterms:modified xsi:type="dcterms:W3CDTF">2026-04-30T15:43:53+02:00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