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différenciation, décentralisation et déconcentration (dite « 3DS »). Présentation</w:t>
      </w:r>
    </w:p>
    <w:p>
      <w:pPr>
        <w:pStyle w:val="Heading2"/>
      </w:pPr>
      <w:r>
        <w:rPr/>
        <w:t xml:space="preserve">Revue - Vie Communale</w:t>
      </w:r>
    </w:p>
    <w:p>
      <w:pPr>
        <w:pStyle w:val="Heading3"/>
      </w:pPr>
      <w:r>
        <w:rPr/>
        <w:t xml:space="preserve">Source - JO</w:t>
      </w:r>
    </w:p>
    <w:p/>
    <w:p>
      <w:pPr/>
      <w:r>
        <w:rPr/>
        <w:t xml:space="preserve"> La loi n° 2022-217 du 21 février 2022 porte diverses mesures de simplification de l’action publique locale. </w:t>
      </w:r>
    </w:p>
    <w:p>
      <w:pPr/>
      <w:r>
        <w:rPr>
          <w:b w:val="1"/>
          <w:bCs w:val="1"/>
        </w:rPr>
        <w:t xml:space="preserve">1. Différenciation territoriale</w:t>
      </w:r>
    </w:p>
    <w:p>
      <w:pPr/>
      <w:r>
        <w:rPr/>
        <w:t xml:space="preserve"> Dans le respect du principe d’égalité, les règles  relatives à l’attribution et à l’exercice des compétences applicables à  une catégorie de collectivités territoriales peuvent être différenciées  pour tenir compte des différences objectives de situations dans  lesquelles se trouvent les collectivités relevant de la même catégorie,  si la différence de traitement qui en résulte est proportionnée et en  rapport avec l’objet de la loi qui l’établit (</w:t>
      </w:r>
    </w:p>
    <w:p>
      <w:pPr/>
      <w:hyperlink r:id="rId7" w:history="1">
        <w:r>
          <w:rPr/>
          <w:t xml:space="preserve">art. L 1111-3-1</w:t>
        </w:r>
      </w:hyperlink>
    </w:p>
    <w:p>
      <w:pPr/>
      <w:r>
        <w:rPr/>
        <w:t xml:space="preserve"> du CGCT). </w:t>
      </w:r>
    </w:p>
    <w:p>
      <w:pPr/>
      <w:r>
        <w:rPr>
          <w:b w:val="1"/>
          <w:bCs w:val="1"/>
        </w:rPr>
        <w:t xml:space="preserve">2. Intercommunalité</w:t>
      </w:r>
    </w:p>
    <w:p>
      <w:pPr/>
      <w:r>
        <w:rPr/>
        <w:t xml:space="preserve"> </w:t>
      </w:r>
    </w:p>
    <w:p>
      <w:pPr/>
      <w:r>
        <w:rPr>
          <w:b w:val="1"/>
          <w:bCs w:val="1"/>
        </w:rPr>
        <w:t xml:space="preserve">Transferts de compétences. </w:t>
      </w:r>
    </w:p>
    <w:p>
      <w:pPr/>
      <w:r>
        <w:rPr/>
        <w:t xml:space="preserve">L’article 17 de la  loi prévoit qu’une ou plusieurs communes membres d’un EPCI à fiscalité  propre peuvent transférer à ce dernier, en tout ou partie, certaines de  leurs compétences dont le transfert n’est pas prévu par la loi ou par la  décision institutive ainsi que les biens, équipements ou services  publics nécessaires à leur exercice. </w:t>
      </w:r>
    </w:p>
    <w:p>
      <w:pPr/>
      <w:r>
        <w:rPr>
          <w:b w:val="1"/>
          <w:bCs w:val="1"/>
        </w:rPr>
        <w:t xml:space="preserve">Voirie.</w:t>
      </w:r>
    </w:p>
    <w:p>
      <w:pPr/>
      <w:r>
        <w:rPr/>
        <w:t xml:space="preserve"> L‘article 18 prévoit que l’exercice  de la compétence « voirie » est soumis à la reconnaissance d’un intérêt  communautaire ou métropolitain. </w:t>
      </w:r>
    </w:p>
    <w:p>
      <w:pPr/>
      <w:r>
        <w:rPr>
          <w:b w:val="1"/>
          <w:bCs w:val="1"/>
        </w:rPr>
        <w:t xml:space="preserve">Tourisme.</w:t>
      </w:r>
    </w:p>
    <w:p>
      <w:pPr/>
      <w:r>
        <w:rPr/>
        <w:t xml:space="preserve"> L’article 10 de la loi porte sur l’élargissement des possibilités de restitution aux communes de la compétence « tourisme ». </w:t>
      </w:r>
    </w:p>
    <w:p>
      <w:pPr/>
      <w:r>
        <w:rPr>
          <w:b w:val="1"/>
          <w:bCs w:val="1"/>
        </w:rPr>
        <w:t xml:space="preserve">Eau et assainissement.</w:t>
      </w:r>
    </w:p>
    <w:p>
      <w:pPr/>
      <w:r>
        <w:rPr/>
        <w:t xml:space="preserve"> L’article 30 maintient l’échéance du 1</w:t>
      </w:r>
    </w:p>
    <w:p>
      <w:pPr/>
      <w:r>
        <w:rPr>
          <w:vertAlign w:val="superscript"/>
        </w:rPr>
        <w:t xml:space="preserve">er</w:t>
      </w:r>
    </w:p>
    <w:p>
      <w:pPr/>
      <w:r>
        <w:rPr/>
        <w:t xml:space="preserve"> janvier  2026 pour le transfert de cette compétence aux communautés de communes  (les autres formes d’EPCI exercent déjà ces compétences). Les syndicats  de gestion des eaux préexistants au sein d’une communauté de communes  seront cependant maintenus après le 1</w:t>
      </w:r>
    </w:p>
    <w:p>
      <w:pPr/>
      <w:r>
        <w:rPr>
          <w:vertAlign w:val="superscript"/>
        </w:rPr>
        <w:t xml:space="preserve">er</w:t>
      </w:r>
    </w:p>
    <w:p>
      <w:pPr/>
      <w:r>
        <w:rPr/>
        <w:t xml:space="preserve"> janvier 2026, sauf si la communauté de communes vote le contraire. </w:t>
      </w:r>
    </w:p>
    <w:p>
      <w:pPr/>
      <w:r>
        <w:rPr>
          <w:b w:val="1"/>
          <w:bCs w:val="1"/>
        </w:rPr>
        <w:t xml:space="preserve">3. Urbanisme </w:t>
      </w:r>
    </w:p>
    <w:p>
      <w:pPr/>
      <w:r>
        <w:rPr/>
        <w:t xml:space="preserve"> L’article 35 de la loi permet d’encadrer  l’implantation d’éoliennes sur le territoire des communes et EPCI  compétents grâce aux règlements des PLU. </w:t>
      </w:r>
    </w:p>
    <w:p>
      <w:pPr/>
      <w:r>
        <w:rPr>
          <w:b w:val="1"/>
          <w:bCs w:val="1"/>
        </w:rPr>
        <w:t xml:space="preserve">4. Chemins ruraux</w:t>
      </w:r>
    </w:p>
    <w:p>
      <w:pPr/>
      <w:r>
        <w:rPr/>
        <w:t xml:space="preserve"> Le conseil municipal peut décider le recensement des  chemins ruraux, ce qui suspend le délai de prescription jusqu’à la  délibération arrêtant le tableau récapitulatif des chemins prise après  enquête publique (art. 102 de la loi ; </w:t>
      </w:r>
    </w:p>
    <w:p>
      <w:pPr/>
      <w:hyperlink r:id="rId8" w:history="1">
        <w:r>
          <w:rPr/>
          <w:t xml:space="preserve">art. L 161-6-1</w:t>
        </w:r>
      </w:hyperlink>
    </w:p>
    <w:p>
      <w:pPr/>
      <w:r>
        <w:rPr/>
        <w:t xml:space="preserve"> du code rural et de la pêche maritime). Les conditions d’un échange concernant le tracé d’un  chemin rural sont précisées. L’enquête publique est a priori remplacée  par une simple information du public en mairie avec registre.  L’affectation à l’usage du public ne peut être remise en cause par une  décision administrative (</w:t>
      </w:r>
    </w:p>
    <w:p>
      <w:pPr/>
      <w:hyperlink r:id="rId9" w:history="1">
        <w:r>
          <w:rPr/>
          <w:t xml:space="preserve">art. L 161-10-2</w:t>
        </w:r>
      </w:hyperlink>
    </w:p>
    <w:p>
      <w:pPr/>
      <w:r>
        <w:rPr/>
        <w:t xml:space="preserve">). </w:t>
      </w:r>
    </w:p>
    <w:p>
      <w:pPr/>
      <w:r>
        <w:rPr>
          <w:b w:val="1"/>
          <w:bCs w:val="1"/>
        </w:rPr>
        <w:t xml:space="preserve">5. Dénomination des voies</w:t>
      </w:r>
    </w:p>
    <w:p>
      <w:pPr/>
      <w:r>
        <w:rPr/>
        <w:t xml:space="preserve"> Le conseil municipal procède à la dénomination des  voies et lieux-dits, y compris les voies privées ouvertes à la  circulation (art. 169 ; </w:t>
      </w:r>
    </w:p>
    <w:p>
      <w:pPr/>
      <w:hyperlink r:id="rId10" w:history="1">
        <w:r>
          <w:rPr/>
          <w:t xml:space="preserve">art. L 2121-30</w:t>
        </w:r>
      </w:hyperlink>
    </w:p>
    <w:p>
      <w:pPr/>
      <w:r>
        <w:rPr/>
        <w:t xml:space="preserve"> du CGCT). Les communes alimenteront une base nationale des adresses. </w:t>
      </w:r>
    </w:p>
    <w:p>
      <w:pPr/>
      <w:r>
        <w:rPr>
          <w:b w:val="1"/>
          <w:bCs w:val="1"/>
        </w:rPr>
        <w:t xml:space="preserve">6. Conflits d’intérêt</w:t>
      </w:r>
    </w:p>
    <w:p>
      <w:pPr/>
      <w:r>
        <w:rPr/>
        <w:t xml:space="preserve"> L’article 217 précise que les représentants d'une  collectivité territoriale désignés pour participer aux organes  décisionnels d'une autre personne morale de droit public ne sont pas  considérés, du seul fait de cette désignation, comme ayant un intérêt,  au sens de l'article L 2131-11 du CGCT, lorsque la collectivité délibère  sur une affaire intéressant la personne morale concernée. En revanche, les élus ne participent pas aux  décisions de la collectivité attribuant à la personne morale concernée  un contrat de la commande publique, une garantie d’emprunt ou une aide,  ni aux délibérations portant sur leur désignation ou leur rémunération  au sein de la personne morale concernée. Cette obligation de déport ne concernera pas les  délibérations relatives aux relations avec les groupements de  collectivités, les caisses des écoles, les centres communaux d’action  sociale. Elle ne s’appliquera pas non plus au vote du budget (</w:t>
      </w:r>
    </w:p>
    <w:p>
      <w:pPr/>
      <w:hyperlink r:id="rId11" w:history="1">
        <w:r>
          <w:rPr/>
          <w:t xml:space="preserve">art. L 1111-6</w:t>
        </w:r>
      </w:hyperlink>
    </w:p>
    <w:p>
      <w:pPr/>
      <w:r>
        <w:rPr/>
        <w:t xml:space="preserve"> du CGCT). </w:t>
      </w:r>
    </w:p>
    <w:p>
      <w:pPr/>
      <w:r>
        <w:rPr>
          <w:b w:val="1"/>
          <w:bCs w:val="1"/>
        </w:rPr>
        <w:t xml:space="preserve">7. Délégations du conseil municipal au maire </w:t>
      </w:r>
    </w:p>
    <w:p>
      <w:pPr/>
      <w:r>
        <w:rPr/>
        <w:t xml:space="preserve"> Le conseil municipal a la possibilité de déléguer  directement au maire un certain nombre d'attributions limitativement  énumérées à </w:t>
      </w:r>
    </w:p>
    <w:p>
      <w:pPr/>
      <w:hyperlink r:id="rId12" w:history="1">
        <w:r>
          <w:rPr/>
          <w:t xml:space="preserve">l'article L 2122-22</w:t>
        </w:r>
      </w:hyperlink>
    </w:p>
    <w:p>
      <w:pPr/>
      <w:r>
        <w:rPr/>
        <w:t xml:space="preserve">  du CGCT. La loi actualise les références du code de l’urbanisme qui  figurent au point 15° de cet article pour ce qui est de l’exercice du  droit de préemption, et au point 23° pour ce qui concerne la réalisation  de diagnostics d’archéologie préventive. Elle ajoute un point 30°  relatif à l'admission en non-valeur des titres de recettes et un point  31° relatif à la possibilité pour le maire d’autoriser les mandats  spéciaux des membres du conseil municipal ainsi que le remboursement des  frais exposés dans ce cadre. </w:t>
      </w:r>
    </w:p>
    <w:p>
      <w:pPr/>
      <w:r>
        <w:rPr>
          <w:b w:val="1"/>
          <w:bCs w:val="1"/>
        </w:rPr>
        <w:t xml:space="preserve">8. Concessions funéraires</w:t>
      </w:r>
    </w:p>
    <w:p>
      <w:pPr/>
      <w:r>
        <w:rPr/>
        <w:t xml:space="preserve"> Les communes ont désormais l'obligation d'informer  par tout moyen les concessionnaires et leurs ayants cause de l'existence  de ce droit de renouvellement. Ce principe à mettre en œuvre pour les  concessions temporaires avait été affirmé récemment par la jurisprudence  ; il est désormais codifié à </w:t>
      </w:r>
    </w:p>
    <w:p>
      <w:pPr/>
      <w:hyperlink r:id="rId13" w:history="1">
        <w:r>
          <w:rPr/>
          <w:t xml:space="preserve">l'article L 2223-15</w:t>
        </w:r>
      </w:hyperlink>
    </w:p>
    <w:p>
      <w:pPr/>
      <w:r>
        <w:rPr/>
        <w:t xml:space="preserve"> du CGCT. La procédure de reprise des concessions en état  d'abandon est écourtée. En effet, le délai d'attente entre les deux  procès-verbaux de constat passe à 1 an au lieu de 3 ans (</w:t>
      </w:r>
    </w:p>
    <w:p>
      <w:pPr/>
      <w:hyperlink r:id="rId14" w:history="1">
        <w:r>
          <w:rPr/>
          <w:t xml:space="preserve">art. L 2223-17</w:t>
        </w:r>
      </w:hyperlink>
    </w:p>
    <w:p>
      <w:pPr/>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199293" TargetMode="External"/><Relationship Id="rId8" Type="http://schemas.openxmlformats.org/officeDocument/2006/relationships/hyperlink" Target="https://www.legifrance.gouv.fr/codes/article_lc/LEGIARTI000045203730" TargetMode="External"/><Relationship Id="rId9" Type="http://schemas.openxmlformats.org/officeDocument/2006/relationships/hyperlink" Target="https://www.legifrance.gouv.fr/codes/article_lc/LEGIARTI000045202914" TargetMode="External"/><Relationship Id="rId10" Type="http://schemas.openxmlformats.org/officeDocument/2006/relationships/hyperlink" Target="https://www.legifrance.gouv.fr/codes/article_lc/LEGIARTI000045213424" TargetMode="External"/><Relationship Id="rId11" Type="http://schemas.openxmlformats.org/officeDocument/2006/relationships/hyperlink" Target="https://www.legifrance.gouv.fr/codes/article_lc/LEGIARTI000045214147" TargetMode="External"/><Relationship Id="rId12" Type="http://schemas.openxmlformats.org/officeDocument/2006/relationships/hyperlink" Target="https://www.legifrance.gouv.fr/codes/section_lc/LEGITEXT000006070633/LEGISCTA000006192256" TargetMode="External"/><Relationship Id="rId13" Type="http://schemas.openxmlformats.org/officeDocument/2006/relationships/hyperlink" Target="https://www.legifrance.gouv.fr/codes/article_lc/LEGIARTI000045214452" TargetMode="External"/><Relationship Id="rId14" Type="http://schemas.openxmlformats.org/officeDocument/2006/relationships/hyperlink" Target="https://www.legifrance.gouv.fr/codes/article_lc/LEGIARTI000045214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2026-01-23T13:43:09+01:00</dcterms:created>
  <dcterms:modified xsi:type="dcterms:W3CDTF">2026-01-23T13:43:09+01:00</dcterms:modified>
</cp:coreProperties>
</file>

<file path=docProps/custom.xml><?xml version="1.0" encoding="utf-8"?>
<Properties xmlns="http://schemas.openxmlformats.org/officeDocument/2006/custom-properties" xmlns:vt="http://schemas.openxmlformats.org/officeDocument/2006/docPropsVTypes"/>
</file>