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Raccordement au réseau public d'assainissement. Délai de transmission du rapport de contrôle de raccordement (6 semaines)</w:t>
      </w:r>
    </w:p>
    <w:p>
      <w:pPr>
        <w:pStyle w:val="Heading2"/>
      </w:pPr>
      <w:r>
        <w:rPr/>
        <w:t xml:space="preserve">Revue - Intercommunalité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2022-521 du 11 avril 2022 fixe le délai (6 semaines) dans lequel la commune doit transmettre au propriétaire de l'immeuble ou au syndicat des copropriétaires le document établi à l'issue du contrôle de raccordement au réseau public d'assainissement, dans le cas où ce contrôle est réalisé à leur demande.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2026-08-24T20:35:25+02:00</dcterms:created>
  <dcterms:modified xsi:type="dcterms:W3CDTF">2026-08-24T20:35:25+02:00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