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Taxe d'aménagement. Modalités de transmission des informations à la DGFiP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transfert de la taxe d'aménagement et de la part logement de la redevance d'archéologie préventive permet notamment d'offrir un meilleur service pour les bénéficiaires des taxes d'urbanisme par la mise à disposition d'un nouvel outil de saisie des délibérations assurant leur transmission automatique aux services de la Direction générale des Finances publiques (DGFiP). Dans ce cadre, l'ordonnance n° 2022-883 du 14 juin 2022 relative au transfert à la Direction générale des Finances publiques de la gestion de la taxe d'aménagement et de la part logement de la redevance d'archéologie préventive modifie les articles 1639 A et 1639 A </w:t>
      </w:r>
    </w:p>
    <w:p>
      <w:pPr/>
      <w:r>
        <w:rPr>
          <w:i w:val="1"/>
          <w:iCs w:val="1"/>
        </w:rPr>
        <w:t xml:space="preserve">bis</w:t>
      </w:r>
    </w:p>
    <w:p>
      <w:pPr/>
      <w:r>
        <w:rPr/>
        <w:t xml:space="preserve"> du code général des impôts (CGI) en prévoyant notamment la transmission par les collectivités locales à la DGFiP d'informations relatives à la taxe d'aménagement en vue de la réalisation des opérations d'assiette de la taxe. Un arrêté du 12 octobre 2022 précise les modalités de cette transmission.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2026-06-13T05:41:34+02:00</dcterms:created>
  <dcterms:modified xsi:type="dcterms:W3CDTF">2026-06-13T05:41:34+02:00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