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Action en responsabilité. Prescription. Point de départ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Aux termes de l'article 2224 du code civil : « Les actions personnelles ou mobilières se prescrivent par cinq ans à compter du jour où le titulaire d'un droit a connu ou aurait dû connaître les faits lui permettant de l'exercer ». La prescription court à compter de la manifestation du dommage, c'est-à-dire de la date à laquelle la victime a une connaissance suffisamment certaine de l'étendue du dommage, quand bien même le responsable de celui-ci ne serait, à cette date, pas encore déterminé (CE, 10 juin 2022, </w:t>
      </w:r>
    </w:p>
    <w:p>
      <w:pPr/>
      <w:r>
        <w:rPr>
          <w:i w:val="1"/>
          <w:iCs w:val="1"/>
        </w:rPr>
        <w:t xml:space="preserve">commune du Tholonet</w:t>
      </w:r>
    </w:p>
    <w:p>
      <w:pPr/>
      <w:r>
        <w:rPr/>
        <w:t xml:space="preserve">, n° 450675).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