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Réunion du conseil municipal. Port par des élus locaux de signes religieux ou politiques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Cour de cassation (Cass.,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septembre 2020, </w:t>
      </w:r>
    </w:p>
    <w:p>
      <w:pPr/>
      <w:hyperlink r:id="rId7" w:history="1">
        <w:r>
          <w:rPr/>
          <w:t xml:space="preserve">n° 10-80584</w:t>
        </w:r>
      </w:hyperlink>
    </w:p>
    <w:p>
      <w:pPr/>
      <w:r>
        <w:rPr/>
        <w:t xml:space="preserve">) a considéré qu'un maire ne pouvait interdire à un élu de prendre la parole lors d'une séance du conseil municipal au motif que ce dernier portait un signe religieux ostensible (en l'espèce, une croix symbolisant son appartenance à la religion chrétienne). De même, l'interdiction faite à un élu de siéger en raison de l'utilisation de signes ayant un caractère politique est susceptible de porter atteinte à la liberté d'expression des élus si elle n'est ni limitée, ni circonstanciée et si elle n'explicite pas en quoi cette utilisation est susceptible de troubler le bon ordre des séances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16.02.2023, question n° 01624, p. 1158).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uri/id/JURITEXT000022812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2026-01-23T11:11:03+01:00</dcterms:created>
  <dcterms:modified xsi:type="dcterms:W3CDTF">2026-01-23T11:11:03+01:00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