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Infrastructures aquatiques. Intérêt communautaire</w:t>
      </w:r>
    </w:p>
    <w:p>
      <w:pPr>
        <w:pStyle w:val="Heading2"/>
      </w:pPr>
      <w:r>
        <w:rPr/>
        <w:t xml:space="preserve">Revue - Intercommunalité</w:t>
      </w:r>
    </w:p>
    <w:p>
      <w:pPr>
        <w:pStyle w:val="Heading3"/>
      </w:pPr>
      <w:r>
        <w:rPr/>
        <w:t xml:space="preserve">Source - JO AN - JO Sénat</w:t>
      </w:r>
    </w:p>
    <w:p/>
    <w:p>
      <w:pPr/>
      <w:r>
        <w:rPr/>
        <w:t xml:space="preserve"> Le transfert d'une compétence donnée à un EPCI à fiscalité propre  entraîne le dessaisissement total des communes qui ne peuvent plus  exercer ladite compétence. Aux termes de </w:t>
      </w:r>
    </w:p>
    <w:p>
      <w:pPr/>
      <w:hyperlink r:id="rId7" w:history="1">
        <w:r>
          <w:rPr/>
          <w:t xml:space="preserve">l'article L 5216-5</w:t>
        </w:r>
      </w:hyperlink>
    </w:p>
    <w:p>
      <w:pPr/>
      <w:r>
        <w:rPr/>
        <w:t xml:space="preserve">  du CGCT, outre ses compétences obligatoires, une communauté  d'agglomération peut exercer des compétences à titre supplémentaire  parmi lesquelles la construction, l'aménagement, l'entretien et la  gestion d'équipements culturels et sportifs d'intérêt communautaire. L'exercice de cette compétence est subordonné à la reconnaissance  préalable de son intérêt communautaire. L'intérêt communautaire permet  de maintenir au niveau communal une intervention de proximité et de  transférer à l'EPCI les missions qui, par leur coût, leur technicité,  leur ampleur ou leur caractère structurant, s'inscrivent dans une  logique intercommunale. Cet intérêt communautaire est défini par le  conseil communautaire par délibération à la majorité qualifiée des deux  tiers des suffrages exprimés. Dans le cas évoqué (commune dont la piscine est fermée depuis 5 ans  pour raison de sécurité), l'intervention communale ne serait possible  qu'à la condition que le conseil communautaire de l'EPCI concerné  délibère en ce sens via une modification de la définition de l'intérêt  communautaire s'agissant des équipements sportifs (</w:t>
      </w:r>
    </w:p>
    <w:p>
      <w:pPr/>
      <w:r>
        <w:rPr>
          <w:i w:val="1"/>
          <w:iCs w:val="1"/>
        </w:rPr>
        <w:t xml:space="preserve">JO </w:t>
      </w:r>
    </w:p>
    <w:p>
      <w:pPr/>
      <w:r>
        <w:rPr/>
        <w:t xml:space="preserve">Sénat, 29.12.2022, question n° 00989, p. 6808).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2026-01-23T05:04:12+01:00</dcterms:created>
  <dcterms:modified xsi:type="dcterms:W3CDTF">2026-01-23T05:04:12+01:00</dcterms:modified>
</cp:coreProperties>
</file>

<file path=docProps/custom.xml><?xml version="1.0" encoding="utf-8"?>
<Properties xmlns="http://schemas.openxmlformats.org/officeDocument/2006/custom-properties" xmlns:vt="http://schemas.openxmlformats.org/officeDocument/2006/docPropsVTypes"/>
</file>