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Occupation du domaine privé. Mise en concurrence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  <w:i w:val="1"/>
          <w:iCs w:val="1"/>
        </w:rPr>
        <w:t xml:space="preserve">Les obligations de publicité et mise en concurrence ne s’appliquent pas aux personnes publiques préalablement à la conclusion de baux portant sur des biens appartenant à leur domaine privé, sauf dispositions spéciales.</w:t>
      </w:r>
    </w:p>
    <w:p>
      <w:pPr/>
      <w:r>
        <w:rPr>
          <w:b w:val="1"/>
          <w:bCs w:val="1"/>
        </w:rPr>
        <w:t xml:space="preserve">1. </w:t>
      </w:r>
      <w:r>
        <w:rPr/>
        <w:t xml:space="preserve">Le Conseil d'Etat a jugé, à propos d'un bail emphytéotique portant sur un hôtel relevant du domaine privé communal, que les obligations de publicité et mise en concurrence préalablement à la délivrance d'autorisations d'occupation du domaine public permettant l'exercice d'une activité économique (art. L 2122-1-1 du code général de la propriété des personnes publique) ne s’appliquent pas aux personnes publiques préalablement à la conclusion de baux portant sur des biens appartenant à leur domaine privé (CE, 2 décembre 2022, </w:t>
      </w:r>
      <w:hyperlink r:id="rId7" w:history="1">
        <w:r>
          <w:rPr/>
          <w:t xml:space="preserve">n° 460100</w:t>
        </w:r>
      </w:hyperlink>
      <w:r>
        <w:rPr/>
        <w:t xml:space="preserve">).</w:t>
      </w:r>
    </w:p>
    <w:p>
      <w:pPr/>
      <w:r>
        <w:rPr>
          <w:b w:val="1"/>
          <w:bCs w:val="1"/>
        </w:rPr>
        <w:t xml:space="preserve">2. </w:t>
      </w:r>
      <w:r>
        <w:rPr/>
        <w:t xml:space="preserve">Par conséquent, les baux relatifs à une activité agricole sur le domaine privé des personnes publiques ne sont pas soumis à une procédure de publicité et de sélection préalables sauf dispositions spéciales.</w:t>
      </w:r>
    </w:p>
    <w:p>
      <w:pPr/>
      <w:r>
        <w:rPr/>
        <w:t xml:space="preserve">Pour le fermage, le dernier alinéa de l'article L 411-15 du code rural et de la pêche maritime, qui institue un droit de priorité aux jeunes agriculteurs qui réalisent une installation et subsidiairement, aux exploitants de la commune répondant à certaines conditions de capacité professionnelle et de superficie, implique que l'organe délibérant de la collectivité propriétaire de terres agricoles ait connaissance de l'ensemble des candidatures en présence et procèdent à leur examen (CAA Nancy, 21 septembre 2021, </w:t>
      </w:r>
      <w:hyperlink r:id="rId8" w:history="1">
        <w:r>
          <w:rPr/>
          <w:t xml:space="preserve">n° 20NC03594</w:t>
        </w:r>
      </w:hyperlink>
      <w:r>
        <w:rPr/>
        <w:t xml:space="preserve">). Il en découle pour le juge judiciaire que la collectivité doit procéder à une publicité préalable de la mise en location des terrains (Cass., 13 octobre 2021, </w:t>
      </w:r>
      <w:hyperlink r:id="rId9" w:history="1">
        <w:r>
          <w:rPr/>
          <w:t xml:space="preserve">n° 20-15646</w:t>
        </w:r>
      </w:hyperlink>
      <w:r>
        <w:rPr/>
        <w:t xml:space="preserve">) (</w:t>
      </w:r>
      <w:r>
        <w:rPr>
          <w:i w:val="1"/>
          <w:iCs w:val="1"/>
        </w:rPr>
        <w:t xml:space="preserve">JO</w:t>
      </w:r>
      <w:r>
        <w:rPr/>
        <w:t xml:space="preserve"> Sénat, 30.03.2023, question n° 04401, p. 2177).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6678112" TargetMode="External"/><Relationship Id="rId8" Type="http://schemas.openxmlformats.org/officeDocument/2006/relationships/hyperlink" Target="https://www.legifrance.gouv.fr/ceta/id/CETATEXT000044134145" TargetMode="External"/><Relationship Id="rId9" Type="http://schemas.openxmlformats.org/officeDocument/2006/relationships/hyperlink" Target="https://www.legifrance.gouv.fr/juri/id/JURITEXT000044220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2026-01-23T11:10:08+01:00</dcterms:created>
  <dcterms:modified xsi:type="dcterms:W3CDTF">2026-01-23T11:10:08+01:00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