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Contrôle de légalité. Transmission par voie électronique. Extension aux autorisations d'urbanisme tacites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6 juin 2023 modifie l'arrêté du 24 février 2023 établissant la liste et les conditions d'utilisation des dispositifs dispensés de l'homologation prévue au II de </w:t>
      </w:r>
      <w:hyperlink r:id="rId7" w:history="1">
        <w:r>
          <w:rPr/>
          <w:t xml:space="preserve">l'article R 2131-2-A</w:t>
        </w:r>
      </w:hyperlink>
      <w:r>
        <w:rPr/>
        <w:t xml:space="preserve"> du CGCT et permettant la transmission par voie électronique des actes des collectivités territoriales soumis au contrôle de légalité.</w:t>
      </w:r>
    </w:p>
    <w:p>
      <w:pPr/>
      <w:r>
        <w:rPr/>
        <w:t xml:space="preserve">Les modifications apportées à l'arrêté du 24 février 2023 concernent uniquement l'interface @CTES/PLAT'AU et suppriment la référence aux décisions expresses. L'interface @CTES/PLAT'AU permet désormais de télétransmettre les dossiers de demande d'autorisation d'urbanisme, y compris lorsque l'autorisation a été accordée de manière tacite.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52422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2026-06-13T05:16:13+02:00</dcterms:created>
  <dcterms:modified xsi:type="dcterms:W3CDTF">2026-06-13T05:16:13+02:00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