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Décisions d'admission en non-valeur. Seuil du plafond de délégation</w:t>
      </w:r>
    </w:p>
    <w:p>
      <w:pPr>
        <w:pStyle w:val="Heading2"/>
      </w:pPr>
      <w:r>
        <w:rPr/>
        <w:t xml:space="preserve">Revue - Vie Communale</w:t>
      </w:r>
    </w:p>
    <w:p>
      <w:pPr>
        <w:pStyle w:val="Heading3"/>
      </w:pPr>
      <w:r>
        <w:rPr/>
        <w:t xml:space="preserve">Source - JO</w:t>
      </w:r>
    </w:p>
    <w:p/>
    <w:p>
      <w:pPr/>
      <w:r>
        <w:rPr/>
        <w:t xml:space="preserve">Pour constater l'irrécouvrabilité des créances, les assemblées délibérantes, qui disposent du pouvoir budgétaire, les admettent en non-valeur. Cette mesure d'apurement d'ordre budgétaire et comptable ne s'oppose pas à l'exercice de poursuites ultérieures si le débiteur revient à meilleure fortune, mais s'insère dans l'exigence de sincérité des comptes portée par l'article 47-2 de la Constitution.</w:t>
      </w:r>
    </w:p>
    <w:p>
      <w:pPr/>
      <w:r>
        <w:rPr/>
        <w:t xml:space="preserve">Afin de fluidifier la mise en œuvre de cette procédure pour les créances de faible montant et recentrer les travaux de l'assemblée sur les créances significatives, la loi autorise la délégation de la décision d'admission en non-valeur à l'exécutif local dans la limite d'un seuil.</w:t>
      </w:r>
    </w:p>
    <w:p>
      <w:pPr/>
      <w:r>
        <w:rPr/>
        <w:t xml:space="preserve">Le décret n° 2023-523 du 29 juin 2023 précise le seuil au-delà duquel la délégation ne peut intervenir et les modalités selon lesquelles l’exécutif rend compte de l'exercice de cette délégation auprès de l'assemblée délibérante. Pour les communes, ce seuil est de 100 €.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2026-03-10T17:06:48+01:00</dcterms:created>
  <dcterms:modified xsi:type="dcterms:W3CDTF">2026-03-10T17:06:48+01:00</dcterms:modified>
</cp:coreProperties>
</file>

<file path=docProps/custom.xml><?xml version="1.0" encoding="utf-8"?>
<Properties xmlns="http://schemas.openxmlformats.org/officeDocument/2006/custom-properties" xmlns:vt="http://schemas.openxmlformats.org/officeDocument/2006/docPropsVTypes"/>
</file>