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urbain. Motivation. Constructions de nouveaux logements sociaux malgré le respect des objectifs de la loi SRU. Intérêt général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 Conseil d’Etat déduit des articles L 210-1 et L 300-1 du code de l'urbanisme que les collectivités titulaires du droit de préemption urbain peuvent légalement exercer ce droit, d'une part, si elles justifient, à la date à laquelle elles l'exercent, de la réalité d'un projet d'action ou d'opération d'aménagement répondant aux objets mentionnés à </w:t>
      </w:r>
      <w:hyperlink r:id="rId7" w:history="1">
        <w:r>
          <w:rPr/>
          <w:t xml:space="preserve">l'article L 300-1</w:t>
        </w:r>
      </w:hyperlink>
      <w:r>
        <w:rPr/>
        <w:t xml:space="preserve"> du code de l'urbanisme, alors même que les caractéristiques précises de ce projet n'auraient pas été définies à cette date, et, d'autre part, si elles font apparaître la nature de ce projet dans la décision de préemption.</w:t>
      </w:r>
    </w:p>
    <w:p>
      <w:pPr/>
      <w:r>
        <w:rPr/>
        <w:t xml:space="preserve">En outre, la mise en œuvre de ce droit doit, eu égard notamment aux caractéristiques du bien faisant l'objet de l'opération ou au coût prévisible de cette dernière, répondre à un intérêt général suffisant.</w:t>
      </w:r>
    </w:p>
    <w:p>
      <w:pPr/>
      <w:r>
        <w:rPr>
          <w:b w:val="1"/>
          <w:bCs w:val="1"/>
        </w:rPr>
        <w:t xml:space="preserve">2.</w:t>
      </w:r>
      <w:r>
        <w:rPr/>
        <w:t xml:space="preserve"> Il juge en premier lieu qu’un projet de réalisation d'une quarantaine de logements, dont la moitié à caractère social a par nature pour objet la mise en œuvre d'une politique locale de l'habitat et répond à ce titre aux objets définis à l'article L 300 1 du code de l'urbanisme.</w:t>
      </w:r>
    </w:p>
    <w:p>
      <w:pPr/>
      <w:r>
        <w:rPr/>
        <w:t xml:space="preserve">Il juge en second lieu que ce projet présente le caractère d'une action ou d'une opération d'aménagement lorsqu'il concourt à la mise en œuvre d'un programme local de l'habitat ou d'un programme d'orientations et d'actions d'un plan local d'urbanisme intercommunal tenant lieu de programme local de l'habitat, ou bien par lui-même, eu égard à son ampleur et à sa consistance.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Le Conseil d’Etat considère qu’est inopérante la circonstance que la mise en œuvre du droit de préemption ne répondrait pas à un intérêt général suffisant du seul fait que la commune concernée ait atteint les objectifs fixés par </w:t>
      </w:r>
      <w:hyperlink r:id="rId8" w:history="1">
        <w:r>
          <w:rPr/>
          <w:t xml:space="preserve">l'article L 302-5</w:t>
        </w:r>
      </w:hyperlink>
      <w:r>
        <w:rPr/>
        <w:t xml:space="preserve"> du code de la construction et de l'habitation en termes de logements locatifs sociaux, lesquels constituent des seuils à atteindre et non des plafonds (CE, 30 juin 2023, </w:t>
      </w:r>
      <w:r>
        <w:rPr>
          <w:i w:val="1"/>
          <w:iCs w:val="1"/>
        </w:rPr>
        <w:t xml:space="preserve">SAS MJ Développement - Immobilier et Investissement et Mme A.</w:t>
      </w:r>
      <w:r>
        <w:rPr/>
        <w:t xml:space="preserve">, n° 468543).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8042" TargetMode="External"/><Relationship Id="rId8" Type="http://schemas.openxmlformats.org/officeDocument/2006/relationships/hyperlink" Target="https://www.legifrance.gouv.fr/codes/article_lc/LEGIARTI00004521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2026-01-23T05:16:28+01:00</dcterms:created>
  <dcterms:modified xsi:type="dcterms:W3CDTF">2026-01-23T05:16:28+01:00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