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du 24 septembre 2023. Organisation des élections. Circulaire n° IOMA2319492J du 28 juillet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sénateurs de la série 1 sont concernés par un renouvellement en 2023, pour un total de 170 sièges. Le scrutin est prévu le dimanche 24 septembre 2023.</w:t>
      </w:r>
    </w:p>
    <w:p>
      <w:pPr/>
      <w:r>
        <w:rPr/>
        <w:t xml:space="preserve">La circulaire n° IOMA2319492J du 28 juillet 2023 expose le déroulement du scrutin sénatorial aux préfets et haut-commissaire concernés en précisant d'une part, les mesures qu'ils seront amenés à prendre avant, pendant et après le scrutin et, d'autre part, les évolutions intervenues depuis le précédent scrutin de 2020.</w:t>
      </w:r>
    </w:p>
    <w:p>
      <w:pPr/>
      <w:r>
        <w:rPr/>
        <w:t xml:space="preserve">Elle rappelle également les modalités de prise des candidatures, qui se tiendra du 4 au 8 septembre 2023, de contrôle des documents de propagande, d'encadrement des opérations de vote, de proclamation des résultats, de traitement du contentieux électoral et, enfin, de prise en charge financière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2026-04-28T11:43:26+02:00</dcterms:created>
  <dcterms:modified xsi:type="dcterms:W3CDTF">2026-04-28T11:43:26+02:00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